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1B" w:rsidRPr="00915BB4" w:rsidRDefault="00CA4A1B" w:rsidP="00CA4A1B">
      <w:pPr>
        <w:pStyle w:val="a5"/>
        <w:contextualSpacing/>
        <w:rPr>
          <w:rFonts w:ascii="仿宋" w:eastAsia="仿宋" w:hAnsi="仿宋"/>
          <w:sz w:val="28"/>
          <w:szCs w:val="28"/>
        </w:rPr>
      </w:pPr>
      <w:r w:rsidRPr="00915BB4">
        <w:rPr>
          <w:rFonts w:ascii="仿宋" w:eastAsia="仿宋" w:hAnsi="仿宋" w:hint="eastAsia"/>
          <w:sz w:val="28"/>
          <w:szCs w:val="28"/>
        </w:rPr>
        <w:t>附件：</w:t>
      </w:r>
    </w:p>
    <w:p w:rsidR="00062089" w:rsidRPr="00794C08" w:rsidRDefault="001A44DF" w:rsidP="00062089">
      <w:pPr>
        <w:pStyle w:val="a5"/>
        <w:contextualSpacing/>
        <w:jc w:val="center"/>
        <w:rPr>
          <w:rFonts w:asciiTheme="majorEastAsia" w:eastAsiaTheme="majorEastAsia" w:hAnsiTheme="majorEastAsia"/>
          <w:b/>
          <w:sz w:val="40"/>
          <w:szCs w:val="36"/>
        </w:rPr>
      </w:pPr>
      <w:r w:rsidRPr="00794C08">
        <w:rPr>
          <w:rFonts w:asciiTheme="majorEastAsia" w:eastAsiaTheme="majorEastAsia" w:hAnsiTheme="majorEastAsia" w:hint="eastAsia"/>
          <w:b/>
          <w:sz w:val="40"/>
          <w:szCs w:val="36"/>
        </w:rPr>
        <w:t>基金</w:t>
      </w:r>
      <w:r w:rsidR="00062089" w:rsidRPr="00794C08">
        <w:rPr>
          <w:rFonts w:asciiTheme="majorEastAsia" w:eastAsiaTheme="majorEastAsia" w:hAnsiTheme="majorEastAsia" w:hint="eastAsia"/>
          <w:b/>
          <w:sz w:val="40"/>
          <w:szCs w:val="36"/>
        </w:rPr>
        <w:t>销售机构</w:t>
      </w:r>
      <w:r w:rsidRPr="00794C08">
        <w:rPr>
          <w:rFonts w:asciiTheme="majorEastAsia" w:eastAsiaTheme="majorEastAsia" w:hAnsiTheme="majorEastAsia" w:hint="eastAsia"/>
          <w:b/>
          <w:sz w:val="40"/>
          <w:szCs w:val="36"/>
        </w:rPr>
        <w:t>从业人员资格管理相关问题解答</w:t>
      </w:r>
    </w:p>
    <w:p w:rsidR="0057065C" w:rsidRDefault="0057065C" w:rsidP="00792BEE">
      <w:pPr>
        <w:pStyle w:val="a5"/>
        <w:contextualSpacing/>
        <w:rPr>
          <w:rFonts w:ascii="仿宋" w:eastAsia="仿宋" w:hAnsi="仿宋"/>
          <w:b/>
          <w:sz w:val="28"/>
          <w:szCs w:val="28"/>
        </w:rPr>
      </w:pPr>
    </w:p>
    <w:p w:rsidR="00E73AD5" w:rsidRPr="00173E66" w:rsidRDefault="00E73AD5"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1、哪些人需要取得基金从业资格、基金销售业务资格？</w:t>
      </w:r>
      <w:r w:rsidRPr="00173E66">
        <w:rPr>
          <w:rFonts w:ascii="黑体" w:eastAsia="黑体" w:hAnsi="黑体"/>
          <w:sz w:val="30"/>
          <w:szCs w:val="30"/>
        </w:rPr>
        <w:t xml:space="preserve"> </w:t>
      </w:r>
    </w:p>
    <w:p w:rsidR="00E73AD5" w:rsidRPr="00173E66" w:rsidRDefault="00E73AD5" w:rsidP="00173E66">
      <w:pPr>
        <w:pStyle w:val="a5"/>
        <w:ind w:firstLineChars="200" w:firstLine="600"/>
        <w:contextualSpacing/>
        <w:rPr>
          <w:rFonts w:ascii="仿宋" w:eastAsia="仿宋" w:hAnsi="仿宋"/>
          <w:b/>
          <w:sz w:val="30"/>
          <w:szCs w:val="30"/>
        </w:rPr>
      </w:pPr>
      <w:r w:rsidRPr="00173E66">
        <w:rPr>
          <w:rFonts w:ascii="仿宋" w:eastAsia="仿宋" w:hAnsi="仿宋" w:hint="eastAsia"/>
          <w:sz w:val="30"/>
          <w:szCs w:val="30"/>
        </w:rPr>
        <w:t>（1）依据《中华人民共和国证券投资基金法》（主席令第71号）第一章第九条规定：基金从业人员应当具备基金从业资格，遵守法律、行政法规，恪守职业道德和行为规范。</w:t>
      </w:r>
    </w:p>
    <w:p w:rsidR="00E73AD5" w:rsidRPr="00173E66" w:rsidRDefault="00E73AD5" w:rsidP="00173E66">
      <w:pPr>
        <w:pStyle w:val="a5"/>
        <w:ind w:firstLineChars="200" w:firstLine="600"/>
        <w:contextualSpacing/>
        <w:rPr>
          <w:rFonts w:ascii="仿宋" w:eastAsia="仿宋" w:hAnsi="仿宋"/>
          <w:b/>
          <w:sz w:val="30"/>
          <w:szCs w:val="30"/>
        </w:rPr>
      </w:pPr>
      <w:r w:rsidRPr="00173E66">
        <w:rPr>
          <w:rFonts w:ascii="仿宋" w:eastAsia="仿宋" w:hAnsi="仿宋" w:hint="eastAsia"/>
          <w:sz w:val="30"/>
          <w:szCs w:val="30"/>
        </w:rPr>
        <w:t>（2）依据《证券投资基金销售管理办法》（证监会令第91号）第十条规定：商业银行申请基金销售业务资格，应当具备下列条件：公司负责基金销售业务的部门取得基金从业资格的人员不低于该部门员工人数的1/2，负责基金销售业务的部门管理人员取得基金从业资格；公司主要分支机构基金销售业务负责人取得基金从业资格；国有商业银行、股份制商业银行以及邮政储蓄银行等取得基金从业资格人员不少于30人；城市商业银行、农村商业银行、在华外资法人银行等取得基金从业资格人员不少于20人。</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第五十七条规定：宣传推介基金的人员、基金销售信息管理平台系统运营维护人员等从事基金销售业务的人员应当取得基金销售业务资格。</w:t>
      </w:r>
    </w:p>
    <w:p w:rsidR="00E73AD5" w:rsidRPr="00173E66" w:rsidRDefault="00E73AD5" w:rsidP="00F2734E">
      <w:pPr>
        <w:pStyle w:val="a5"/>
        <w:ind w:firstLineChars="200" w:firstLine="600"/>
        <w:contextualSpacing/>
        <w:rPr>
          <w:rFonts w:ascii="黑体" w:eastAsia="黑体" w:hAnsi="黑体"/>
          <w:sz w:val="30"/>
          <w:szCs w:val="30"/>
        </w:rPr>
      </w:pPr>
      <w:r w:rsidRPr="00173E66">
        <w:rPr>
          <w:rFonts w:ascii="黑体" w:eastAsia="黑体" w:hAnsi="黑体" w:hint="eastAsia"/>
          <w:sz w:val="30"/>
          <w:szCs w:val="30"/>
        </w:rPr>
        <w:t>2、基金业协会实施从业资格管理后，是否区分基金销售业务资格和基金从业资格？</w:t>
      </w:r>
    </w:p>
    <w:p w:rsidR="00E73AD5" w:rsidRPr="00173E66" w:rsidRDefault="00E73AD5" w:rsidP="00173E66">
      <w:pPr>
        <w:pStyle w:val="a5"/>
        <w:ind w:firstLineChars="200" w:firstLine="600"/>
        <w:contextualSpacing/>
        <w:rPr>
          <w:rFonts w:ascii="仿宋" w:eastAsia="仿宋" w:hAnsi="仿宋" w:cs="Times New Roman"/>
          <w:sz w:val="30"/>
          <w:szCs w:val="30"/>
        </w:rPr>
      </w:pPr>
      <w:r w:rsidRPr="00173E66">
        <w:rPr>
          <w:rFonts w:ascii="仿宋" w:eastAsia="仿宋" w:hAnsi="仿宋" w:cs="Times New Roman" w:hint="eastAsia"/>
          <w:sz w:val="30"/>
          <w:szCs w:val="30"/>
        </w:rPr>
        <w:lastRenderedPageBreak/>
        <w:t>基金业协会实施从业资格管理后，仍然区分基金销售业务资格和基金从业资格，但取消基金销售基础知识考试，一并纳入基金从业资格考试。</w:t>
      </w:r>
    </w:p>
    <w:p w:rsidR="002E708D"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3、注册基金从业资格后，是否每年都需要后续培训？</w:t>
      </w:r>
    </w:p>
    <w:p w:rsidR="002E708D" w:rsidRPr="00173E66" w:rsidRDefault="002E708D" w:rsidP="002E708D">
      <w:pPr>
        <w:pStyle w:val="a5"/>
        <w:contextualSpacing/>
        <w:rPr>
          <w:rFonts w:ascii="仿宋" w:eastAsia="仿宋" w:hAnsi="仿宋"/>
          <w:sz w:val="30"/>
          <w:szCs w:val="30"/>
        </w:rPr>
      </w:pPr>
      <w:r w:rsidRPr="00173E66">
        <w:rPr>
          <w:rFonts w:ascii="仿宋" w:eastAsia="仿宋" w:hAnsi="仿宋" w:hint="eastAsia"/>
          <w:b/>
          <w:sz w:val="30"/>
          <w:szCs w:val="30"/>
        </w:rPr>
        <w:t xml:space="preserve">    </w:t>
      </w:r>
      <w:r w:rsidRPr="00173E66">
        <w:rPr>
          <w:rFonts w:ascii="仿宋" w:eastAsia="仿宋" w:hAnsi="仿宋" w:hint="eastAsia"/>
          <w:sz w:val="30"/>
          <w:szCs w:val="30"/>
        </w:rPr>
        <w:t>注册基金从业资格</w:t>
      </w:r>
      <w:r w:rsidR="0015765C" w:rsidRPr="00173E66">
        <w:rPr>
          <w:rFonts w:ascii="仿宋" w:eastAsia="仿宋" w:hAnsi="仿宋" w:hint="eastAsia"/>
          <w:sz w:val="30"/>
          <w:szCs w:val="30"/>
        </w:rPr>
        <w:t>及基金销售业务资格</w:t>
      </w:r>
      <w:r w:rsidRPr="00173E66">
        <w:rPr>
          <w:rFonts w:ascii="仿宋" w:eastAsia="仿宋" w:hAnsi="仿宋" w:hint="eastAsia"/>
          <w:sz w:val="30"/>
          <w:szCs w:val="30"/>
        </w:rPr>
        <w:t>后，每年度应参加不少于15学时的</w:t>
      </w:r>
      <w:r w:rsidR="0015765C" w:rsidRPr="00173E66">
        <w:rPr>
          <w:rFonts w:ascii="仿宋" w:eastAsia="仿宋" w:hAnsi="仿宋" w:hint="eastAsia"/>
          <w:sz w:val="30"/>
          <w:szCs w:val="30"/>
        </w:rPr>
        <w:t>后续</w:t>
      </w:r>
      <w:r w:rsidRPr="00173E66">
        <w:rPr>
          <w:rFonts w:ascii="仿宋" w:eastAsia="仿宋" w:hAnsi="仿宋" w:hint="eastAsia"/>
          <w:sz w:val="30"/>
          <w:szCs w:val="30"/>
        </w:rPr>
        <w:t>培训。</w:t>
      </w:r>
    </w:p>
    <w:p w:rsidR="002E708D" w:rsidRPr="00173E66" w:rsidRDefault="002E708D" w:rsidP="00F2734E">
      <w:pPr>
        <w:pStyle w:val="a5"/>
        <w:ind w:firstLineChars="200" w:firstLine="600"/>
        <w:contextualSpacing/>
        <w:rPr>
          <w:rFonts w:ascii="黑体" w:eastAsia="黑体" w:hAnsi="黑体"/>
          <w:sz w:val="30"/>
          <w:szCs w:val="30"/>
        </w:rPr>
      </w:pPr>
      <w:r w:rsidRPr="00173E66">
        <w:rPr>
          <w:rFonts w:ascii="黑体" w:eastAsia="黑体" w:hAnsi="黑体" w:hint="eastAsia"/>
          <w:sz w:val="30"/>
          <w:szCs w:val="30"/>
        </w:rPr>
        <w:t>4、如何参加基金业协会组织的后续培训和年检？后续培训和年检费用是多少？</w:t>
      </w:r>
    </w:p>
    <w:p w:rsidR="002E708D" w:rsidRPr="00173E66" w:rsidRDefault="002E708D"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注册基金从业资格后，可以参加基金业协会组织的面授或远程培训，并通过所在机构参加基金从业资格年检。面授培训具体费用以每期培训通知为准，远程培训费用请见协会后续通知，基金从业资格年检免费。</w:t>
      </w:r>
    </w:p>
    <w:p w:rsidR="00E73AD5"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5</w:t>
      </w:r>
      <w:r w:rsidR="00E73AD5" w:rsidRPr="00173E66">
        <w:rPr>
          <w:rFonts w:ascii="黑体" w:eastAsia="黑体" w:hAnsi="黑体" w:hint="eastAsia"/>
          <w:sz w:val="30"/>
          <w:szCs w:val="30"/>
        </w:rPr>
        <w:t>、只通过</w:t>
      </w:r>
      <w:r w:rsidR="001A63C9">
        <w:rPr>
          <w:rFonts w:ascii="黑体" w:eastAsia="黑体" w:hAnsi="黑体" w:hint="eastAsia"/>
          <w:sz w:val="30"/>
          <w:szCs w:val="30"/>
        </w:rPr>
        <w:t>证券业协会组织的</w:t>
      </w:r>
      <w:r w:rsidR="00E73AD5" w:rsidRPr="00173E66">
        <w:rPr>
          <w:rFonts w:ascii="黑体" w:eastAsia="黑体" w:hAnsi="黑体" w:hint="eastAsia"/>
          <w:sz w:val="30"/>
          <w:szCs w:val="30"/>
        </w:rPr>
        <w:t>《证券投资基金》、《</w:t>
      </w:r>
      <w:r w:rsidR="00F816D4" w:rsidRPr="00173E66">
        <w:rPr>
          <w:rFonts w:ascii="黑体" w:eastAsia="黑体" w:hAnsi="黑体" w:hint="eastAsia"/>
          <w:sz w:val="30"/>
          <w:szCs w:val="30"/>
        </w:rPr>
        <w:t>证券投资</w:t>
      </w:r>
      <w:r w:rsidR="00E73AD5" w:rsidRPr="00173E66">
        <w:rPr>
          <w:rFonts w:ascii="黑体" w:eastAsia="黑体" w:hAnsi="黑体" w:hint="eastAsia"/>
          <w:sz w:val="30"/>
          <w:szCs w:val="30"/>
        </w:rPr>
        <w:t>基金销售基础知识》或《证券市场基础知识》单科的，如何申请基金从业资格或基金销售业务资格？</w:t>
      </w:r>
    </w:p>
    <w:p w:rsidR="00E73AD5" w:rsidRPr="00173E66" w:rsidRDefault="00E73AD5" w:rsidP="00173E66">
      <w:pPr>
        <w:pStyle w:val="a5"/>
        <w:ind w:firstLineChars="253" w:firstLine="759"/>
        <w:contextualSpacing/>
        <w:rPr>
          <w:rFonts w:ascii="仿宋" w:eastAsia="仿宋" w:hAnsi="仿宋"/>
          <w:sz w:val="30"/>
          <w:szCs w:val="30"/>
        </w:rPr>
      </w:pPr>
      <w:r w:rsidRPr="00173E66">
        <w:rPr>
          <w:rFonts w:ascii="仿宋" w:eastAsia="仿宋" w:hAnsi="仿宋" w:hint="eastAsia"/>
          <w:sz w:val="30"/>
          <w:szCs w:val="30"/>
        </w:rPr>
        <w:t>2017年7月1日前：</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（1）已通过《证券投资基金》或《</w:t>
      </w:r>
      <w:r w:rsidR="00F816D4" w:rsidRPr="00173E66">
        <w:rPr>
          <w:rFonts w:ascii="仿宋" w:eastAsia="仿宋" w:hAnsi="仿宋" w:hint="eastAsia"/>
          <w:sz w:val="30"/>
          <w:szCs w:val="30"/>
        </w:rPr>
        <w:t>证券投资</w:t>
      </w:r>
      <w:r w:rsidRPr="00173E66">
        <w:rPr>
          <w:rFonts w:ascii="仿宋" w:eastAsia="仿宋" w:hAnsi="仿宋" w:hint="eastAsia"/>
          <w:sz w:val="30"/>
          <w:szCs w:val="30"/>
        </w:rPr>
        <w:t>基金销售基础</w:t>
      </w:r>
      <w:r w:rsidR="007539DE">
        <w:rPr>
          <w:rFonts w:ascii="仿宋" w:eastAsia="仿宋" w:hAnsi="仿宋" w:hint="eastAsia"/>
          <w:sz w:val="30"/>
          <w:szCs w:val="30"/>
        </w:rPr>
        <w:t>知识》任</w:t>
      </w:r>
      <w:proofErr w:type="gramStart"/>
      <w:r w:rsidR="007539DE">
        <w:rPr>
          <w:rFonts w:ascii="仿宋" w:eastAsia="仿宋" w:hAnsi="仿宋" w:hint="eastAsia"/>
          <w:sz w:val="30"/>
          <w:szCs w:val="30"/>
        </w:rPr>
        <w:t>一</w:t>
      </w:r>
      <w:proofErr w:type="gramEnd"/>
      <w:r w:rsidR="007539DE">
        <w:rPr>
          <w:rFonts w:ascii="仿宋" w:eastAsia="仿宋" w:hAnsi="仿宋" w:hint="eastAsia"/>
          <w:sz w:val="30"/>
          <w:szCs w:val="30"/>
        </w:rPr>
        <w:t>科的，可通过所在机构向基金业协会申请基金销售业务资格。</w:t>
      </w:r>
    </w:p>
    <w:p w:rsidR="00F816D4"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（2）</w:t>
      </w:r>
      <w:r w:rsidR="00F816D4" w:rsidRPr="00173E66">
        <w:rPr>
          <w:rFonts w:ascii="仿宋" w:eastAsia="仿宋" w:hAnsi="仿宋" w:hint="eastAsia"/>
          <w:color w:val="000000"/>
          <w:sz w:val="30"/>
          <w:szCs w:val="30"/>
        </w:rPr>
        <w:t>只通过证券业协会组织的《证券投资基金》的，需再通过基金业协会的科目一，</w:t>
      </w:r>
      <w:r w:rsidR="001A63C9">
        <w:rPr>
          <w:rFonts w:ascii="仿宋" w:eastAsia="仿宋" w:hAnsi="仿宋" w:hint="eastAsia"/>
          <w:color w:val="000000"/>
          <w:sz w:val="30"/>
          <w:szCs w:val="30"/>
        </w:rPr>
        <w:t>成绩合格后，</w:t>
      </w:r>
      <w:r w:rsidR="00F816D4" w:rsidRPr="00173E66">
        <w:rPr>
          <w:rFonts w:ascii="仿宋" w:eastAsia="仿宋" w:hAnsi="仿宋" w:hint="eastAsia"/>
          <w:bCs/>
          <w:color w:val="000000"/>
          <w:sz w:val="30"/>
          <w:szCs w:val="30"/>
        </w:rPr>
        <w:t>可通过所在机构向基金业协会申请注册基金从业资格</w:t>
      </w:r>
      <w:r w:rsidR="007539DE">
        <w:rPr>
          <w:rFonts w:ascii="仿宋" w:eastAsia="仿宋" w:hAnsi="仿宋" w:hint="eastAsia"/>
          <w:color w:val="000000"/>
          <w:sz w:val="30"/>
          <w:szCs w:val="30"/>
        </w:rPr>
        <w:t>。</w:t>
      </w:r>
    </w:p>
    <w:p w:rsidR="00E73AD5" w:rsidRPr="00173E66" w:rsidRDefault="00F816D4"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lastRenderedPageBreak/>
        <w:t>（3）</w:t>
      </w:r>
      <w:r w:rsidR="00E73AD5" w:rsidRPr="00173E66">
        <w:rPr>
          <w:rFonts w:ascii="仿宋" w:eastAsia="仿宋" w:hAnsi="仿宋" w:hint="eastAsia"/>
          <w:sz w:val="30"/>
          <w:szCs w:val="30"/>
        </w:rPr>
        <w:t>只通过《证券市场基础知识》的，需重新参加基金业协会组织的科目一和科目二考试，成绩合格后，可通过所在机构向基金业协会申请</w:t>
      </w:r>
      <w:r w:rsidR="001A63C9">
        <w:rPr>
          <w:rFonts w:ascii="仿宋" w:eastAsia="仿宋" w:hAnsi="仿宋" w:hint="eastAsia"/>
          <w:sz w:val="30"/>
          <w:szCs w:val="30"/>
        </w:rPr>
        <w:t>注册</w:t>
      </w:r>
      <w:r w:rsidR="00E73AD5" w:rsidRPr="00173E66">
        <w:rPr>
          <w:rFonts w:ascii="仿宋" w:eastAsia="仿宋" w:hAnsi="仿宋" w:hint="eastAsia"/>
          <w:sz w:val="30"/>
          <w:szCs w:val="30"/>
        </w:rPr>
        <w:t>基金从业资格。</w:t>
      </w:r>
    </w:p>
    <w:p w:rsidR="00E73AD5" w:rsidRPr="00173E66" w:rsidRDefault="00E73AD5" w:rsidP="00173E66">
      <w:pPr>
        <w:pStyle w:val="a5"/>
        <w:ind w:firstLineChars="253" w:firstLine="759"/>
        <w:contextualSpacing/>
        <w:rPr>
          <w:rFonts w:ascii="仿宋" w:eastAsia="仿宋" w:hAnsi="仿宋"/>
          <w:color w:val="000000"/>
          <w:sz w:val="30"/>
          <w:szCs w:val="30"/>
        </w:rPr>
      </w:pPr>
      <w:r w:rsidRPr="00173E66">
        <w:rPr>
          <w:rFonts w:ascii="仿宋" w:eastAsia="仿宋" w:hAnsi="仿宋" w:hint="eastAsia"/>
          <w:color w:val="000000"/>
          <w:sz w:val="30"/>
          <w:szCs w:val="30"/>
        </w:rPr>
        <w:t>2017年7月1日后：</w:t>
      </w:r>
    </w:p>
    <w:p w:rsidR="00E73AD5" w:rsidRPr="00173E66" w:rsidRDefault="00E73AD5" w:rsidP="00173E66">
      <w:pPr>
        <w:pStyle w:val="a5"/>
        <w:ind w:firstLineChars="200" w:firstLine="600"/>
        <w:contextualSpacing/>
        <w:rPr>
          <w:rFonts w:ascii="仿宋" w:eastAsia="仿宋" w:hAnsi="仿宋"/>
          <w:color w:val="000000"/>
          <w:sz w:val="30"/>
          <w:szCs w:val="30"/>
        </w:rPr>
      </w:pPr>
      <w:r w:rsidRPr="00173E66">
        <w:rPr>
          <w:rFonts w:ascii="仿宋" w:eastAsia="仿宋" w:hAnsi="仿宋" w:hint="eastAsia"/>
          <w:color w:val="000000"/>
          <w:sz w:val="30"/>
          <w:szCs w:val="30"/>
        </w:rPr>
        <w:t>（1）</w:t>
      </w:r>
      <w:r w:rsidR="00F816D4" w:rsidRPr="00173E66">
        <w:rPr>
          <w:rFonts w:ascii="仿宋" w:eastAsia="仿宋" w:hAnsi="仿宋" w:cs="Times New Roman" w:hint="eastAsia"/>
          <w:sz w:val="30"/>
          <w:szCs w:val="30"/>
        </w:rPr>
        <w:t>只通过《证券投资基金销售基础知识》，并已在相关机构任职的，可通过所在机构向基金业协会申请注册基金销售业务资格；超过四年未在相关机构任职的，需同时通过科目一和科目二，或补齐最近两年的规定后续培训学时后，</w:t>
      </w:r>
      <w:r w:rsidR="001A63C9">
        <w:rPr>
          <w:rFonts w:ascii="仿宋" w:eastAsia="仿宋" w:hAnsi="仿宋" w:cs="Times New Roman" w:hint="eastAsia"/>
          <w:sz w:val="30"/>
          <w:szCs w:val="30"/>
        </w:rPr>
        <w:t>可</w:t>
      </w:r>
      <w:r w:rsidR="00F816D4" w:rsidRPr="00173E66">
        <w:rPr>
          <w:rFonts w:ascii="仿宋" w:eastAsia="仿宋" w:hAnsi="仿宋" w:cs="Times New Roman" w:hint="eastAsia"/>
          <w:sz w:val="30"/>
          <w:szCs w:val="30"/>
        </w:rPr>
        <w:t>通过所在机构向基金业协会申请注册基金从业资格。</w:t>
      </w:r>
    </w:p>
    <w:p w:rsidR="00E73AD5" w:rsidRPr="00173E66" w:rsidRDefault="00E73AD5" w:rsidP="00173E66">
      <w:pPr>
        <w:pStyle w:val="a5"/>
        <w:ind w:firstLineChars="200" w:firstLine="600"/>
        <w:contextualSpacing/>
        <w:rPr>
          <w:rFonts w:ascii="仿宋" w:eastAsia="仿宋" w:hAnsi="仿宋" w:cs="Times New Roman"/>
          <w:sz w:val="30"/>
          <w:szCs w:val="30"/>
        </w:rPr>
      </w:pPr>
      <w:r w:rsidRPr="00173E66">
        <w:rPr>
          <w:rFonts w:ascii="仿宋" w:eastAsia="仿宋" w:hAnsi="仿宋" w:hint="eastAsia"/>
          <w:sz w:val="30"/>
          <w:szCs w:val="30"/>
        </w:rPr>
        <w:t>（2）</w:t>
      </w:r>
      <w:r w:rsidR="00F816D4" w:rsidRPr="00173E66">
        <w:rPr>
          <w:rFonts w:ascii="仿宋" w:eastAsia="仿宋" w:hAnsi="仿宋" w:hint="eastAsia"/>
          <w:color w:val="000000"/>
          <w:sz w:val="30"/>
          <w:szCs w:val="30"/>
        </w:rPr>
        <w:t>只通过证券业协会组织的《证券投资基金》的，自考试成绩合格之日起四年内通过科目一，</w:t>
      </w:r>
      <w:r w:rsidR="00F816D4" w:rsidRPr="00173E66">
        <w:rPr>
          <w:rFonts w:ascii="仿宋" w:eastAsia="仿宋" w:hAnsi="仿宋" w:hint="eastAsia"/>
          <w:bCs/>
          <w:color w:val="000000"/>
          <w:sz w:val="30"/>
          <w:szCs w:val="30"/>
        </w:rPr>
        <w:t>可通过所在机构向基金业协会申请注册基金从业资格</w:t>
      </w:r>
      <w:r w:rsidR="00F816D4" w:rsidRPr="00173E66">
        <w:rPr>
          <w:rFonts w:ascii="仿宋" w:eastAsia="仿宋" w:hAnsi="仿宋" w:hint="eastAsia"/>
          <w:color w:val="000000"/>
          <w:sz w:val="30"/>
          <w:szCs w:val="30"/>
        </w:rPr>
        <w:t>；超过四年未通过科目一的，需同时参加科目一和科目二考试，成绩合格后，</w:t>
      </w:r>
      <w:r w:rsidR="007539DE">
        <w:rPr>
          <w:rFonts w:ascii="仿宋" w:eastAsia="仿宋" w:hAnsi="仿宋" w:hint="eastAsia"/>
          <w:color w:val="000000"/>
          <w:sz w:val="30"/>
          <w:szCs w:val="30"/>
        </w:rPr>
        <w:t>可</w:t>
      </w:r>
      <w:r w:rsidR="00F816D4" w:rsidRPr="00173E66">
        <w:rPr>
          <w:rFonts w:ascii="仿宋" w:eastAsia="仿宋" w:hAnsi="仿宋" w:hint="eastAsia"/>
          <w:bCs/>
          <w:color w:val="000000"/>
          <w:sz w:val="30"/>
          <w:szCs w:val="30"/>
        </w:rPr>
        <w:t>通过所在机构向基金业协会申请注册基金从业资格</w:t>
      </w:r>
      <w:r w:rsidR="00F816D4" w:rsidRPr="00173E66">
        <w:rPr>
          <w:rFonts w:ascii="仿宋" w:eastAsia="仿宋" w:hAnsi="仿宋" w:hint="eastAsia"/>
          <w:color w:val="000000"/>
          <w:sz w:val="30"/>
          <w:szCs w:val="30"/>
        </w:rPr>
        <w:t>。</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（3）只通过证券业协会组织的《证券市场基础知识》的，需要同时参加科目一和科目二考试，成绩合格后，</w:t>
      </w:r>
      <w:r w:rsidR="00F3598B">
        <w:rPr>
          <w:rFonts w:ascii="仿宋" w:eastAsia="仿宋" w:hAnsi="仿宋" w:hint="eastAsia"/>
          <w:sz w:val="30"/>
          <w:szCs w:val="30"/>
        </w:rPr>
        <w:t>可</w:t>
      </w:r>
      <w:r w:rsidRPr="00173E66">
        <w:rPr>
          <w:rFonts w:ascii="仿宋" w:eastAsia="仿宋" w:hAnsi="仿宋" w:hint="eastAsia"/>
          <w:sz w:val="30"/>
          <w:szCs w:val="30"/>
        </w:rPr>
        <w:t>通过所在机构向基金业协会申请注册基金从业资格。</w:t>
      </w:r>
    </w:p>
    <w:p w:rsidR="00F11470"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6</w:t>
      </w:r>
      <w:r w:rsidR="00F91F09" w:rsidRPr="00173E66">
        <w:rPr>
          <w:rFonts w:ascii="黑体" w:eastAsia="黑体" w:hAnsi="黑体" w:hint="eastAsia"/>
          <w:sz w:val="30"/>
          <w:szCs w:val="30"/>
        </w:rPr>
        <w:t>、《</w:t>
      </w:r>
      <w:r w:rsidR="00F11470" w:rsidRPr="00173E66">
        <w:rPr>
          <w:rFonts w:ascii="黑体" w:eastAsia="黑体" w:hAnsi="黑体" w:hint="eastAsia"/>
          <w:sz w:val="30"/>
          <w:szCs w:val="30"/>
        </w:rPr>
        <w:t>关于基金从业资格考试有关事项的通知</w:t>
      </w:r>
      <w:r w:rsidR="00F91F09" w:rsidRPr="00173E66">
        <w:rPr>
          <w:rFonts w:ascii="黑体" w:eastAsia="黑体" w:hAnsi="黑体" w:hint="eastAsia"/>
          <w:sz w:val="30"/>
          <w:szCs w:val="30"/>
        </w:rPr>
        <w:t>》</w:t>
      </w:r>
      <w:r w:rsidR="00F11470" w:rsidRPr="00173E66">
        <w:rPr>
          <w:rFonts w:ascii="黑体" w:eastAsia="黑体" w:hAnsi="黑体" w:hint="eastAsia"/>
          <w:sz w:val="30"/>
          <w:szCs w:val="30"/>
        </w:rPr>
        <w:t>（中基协字〔</w:t>
      </w:r>
      <w:r w:rsidR="00F11470" w:rsidRPr="00173E66">
        <w:rPr>
          <w:rFonts w:ascii="黑体" w:eastAsia="黑体" w:hAnsi="黑体"/>
          <w:sz w:val="30"/>
          <w:szCs w:val="30"/>
        </w:rPr>
        <w:t>2015</w:t>
      </w:r>
      <w:r w:rsidR="00F11470" w:rsidRPr="00173E66">
        <w:rPr>
          <w:rFonts w:ascii="黑体" w:eastAsia="黑体" w:hAnsi="黑体" w:hint="eastAsia"/>
          <w:sz w:val="30"/>
          <w:szCs w:val="30"/>
        </w:rPr>
        <w:t>〕</w:t>
      </w:r>
      <w:r w:rsidR="00F11470" w:rsidRPr="00173E66">
        <w:rPr>
          <w:rFonts w:ascii="黑体" w:eastAsia="黑体" w:hAnsi="黑体"/>
          <w:sz w:val="30"/>
          <w:szCs w:val="30"/>
        </w:rPr>
        <w:t>112</w:t>
      </w:r>
      <w:r w:rsidR="00F11470" w:rsidRPr="00173E66">
        <w:rPr>
          <w:rFonts w:ascii="黑体" w:eastAsia="黑体" w:hAnsi="黑体" w:hint="eastAsia"/>
          <w:sz w:val="30"/>
          <w:szCs w:val="30"/>
        </w:rPr>
        <w:t>号）第九条“自本通知发布之日起截至</w:t>
      </w:r>
      <w:r w:rsidR="00F11470" w:rsidRPr="00173E66">
        <w:rPr>
          <w:rFonts w:ascii="黑体" w:eastAsia="黑体" w:hAnsi="黑体"/>
          <w:sz w:val="30"/>
          <w:szCs w:val="30"/>
        </w:rPr>
        <w:t>2017</w:t>
      </w:r>
      <w:r w:rsidR="00F11470" w:rsidRPr="00173E66">
        <w:rPr>
          <w:rFonts w:ascii="黑体" w:eastAsia="黑体" w:hAnsi="黑体" w:hint="eastAsia"/>
          <w:sz w:val="30"/>
          <w:szCs w:val="30"/>
        </w:rPr>
        <w:t>年</w:t>
      </w:r>
      <w:r w:rsidR="00F11470" w:rsidRPr="00173E66">
        <w:rPr>
          <w:rFonts w:ascii="黑体" w:eastAsia="黑体" w:hAnsi="黑体"/>
          <w:sz w:val="30"/>
          <w:szCs w:val="30"/>
        </w:rPr>
        <w:t>7</w:t>
      </w:r>
      <w:r w:rsidR="00F11470" w:rsidRPr="00173E66">
        <w:rPr>
          <w:rFonts w:ascii="黑体" w:eastAsia="黑体" w:hAnsi="黑体" w:hint="eastAsia"/>
          <w:sz w:val="30"/>
          <w:szCs w:val="30"/>
        </w:rPr>
        <w:t>月</w:t>
      </w:r>
      <w:r w:rsidR="00F11470" w:rsidRPr="00173E66">
        <w:rPr>
          <w:rFonts w:ascii="黑体" w:eastAsia="黑体" w:hAnsi="黑体"/>
          <w:sz w:val="30"/>
          <w:szCs w:val="30"/>
        </w:rPr>
        <w:t>1</w:t>
      </w:r>
      <w:r w:rsidR="00F11470" w:rsidRPr="00173E66">
        <w:rPr>
          <w:rFonts w:ascii="黑体" w:eastAsia="黑体" w:hAnsi="黑体" w:hint="eastAsia"/>
          <w:sz w:val="30"/>
          <w:szCs w:val="30"/>
        </w:rPr>
        <w:t>日，认可证券业协会组织的《证券投资基金》、《证券市场基础》和《</w:t>
      </w:r>
      <w:r w:rsidR="002A4BA0">
        <w:rPr>
          <w:rFonts w:ascii="黑体" w:eastAsia="黑体" w:hAnsi="黑体" w:hint="eastAsia"/>
          <w:sz w:val="30"/>
          <w:szCs w:val="30"/>
        </w:rPr>
        <w:t>证券投资</w:t>
      </w:r>
      <w:r w:rsidR="00F11470" w:rsidRPr="00173E66">
        <w:rPr>
          <w:rFonts w:ascii="黑体" w:eastAsia="黑体" w:hAnsi="黑体" w:hint="eastAsia"/>
          <w:sz w:val="30"/>
          <w:szCs w:val="30"/>
        </w:rPr>
        <w:t>基金销售基础知识》科目的考试成绩”，此三门科目是</w:t>
      </w:r>
      <w:r w:rsidR="00BD452E" w:rsidRPr="00173E66">
        <w:rPr>
          <w:rFonts w:ascii="黑体" w:eastAsia="黑体" w:hAnsi="黑体" w:hint="eastAsia"/>
          <w:sz w:val="30"/>
          <w:szCs w:val="30"/>
        </w:rPr>
        <w:t>其中一门通过还是全部</w:t>
      </w:r>
      <w:r w:rsidR="00F11470" w:rsidRPr="00173E66">
        <w:rPr>
          <w:rFonts w:ascii="黑体" w:eastAsia="黑体" w:hAnsi="黑体" w:hint="eastAsia"/>
          <w:sz w:val="30"/>
          <w:szCs w:val="30"/>
        </w:rPr>
        <w:t>通过才认可？</w:t>
      </w:r>
    </w:p>
    <w:p w:rsidR="00F11470" w:rsidRPr="00173E66" w:rsidRDefault="00F11470" w:rsidP="00F11470">
      <w:pPr>
        <w:pStyle w:val="a5"/>
        <w:ind w:firstLine="570"/>
        <w:contextualSpacing/>
        <w:rPr>
          <w:rFonts w:ascii="仿宋" w:eastAsia="仿宋" w:hAnsi="仿宋"/>
          <w:sz w:val="30"/>
          <w:szCs w:val="30"/>
        </w:rPr>
      </w:pPr>
      <w:r w:rsidRPr="00173E66">
        <w:rPr>
          <w:rFonts w:ascii="仿宋" w:eastAsia="仿宋" w:hAnsi="仿宋" w:hint="eastAsia"/>
          <w:sz w:val="30"/>
          <w:szCs w:val="30"/>
        </w:rPr>
        <w:lastRenderedPageBreak/>
        <w:t>若考生</w:t>
      </w:r>
      <w:r w:rsidR="00002874" w:rsidRPr="00173E66">
        <w:rPr>
          <w:rFonts w:ascii="仿宋" w:eastAsia="仿宋" w:hAnsi="仿宋" w:hint="eastAsia"/>
          <w:sz w:val="30"/>
          <w:szCs w:val="30"/>
        </w:rPr>
        <w:t>已</w:t>
      </w:r>
      <w:r w:rsidR="00B9190E" w:rsidRPr="00173E66">
        <w:rPr>
          <w:rFonts w:ascii="仿宋" w:eastAsia="仿宋" w:hAnsi="仿宋" w:hint="eastAsia"/>
          <w:sz w:val="30"/>
          <w:szCs w:val="30"/>
        </w:rPr>
        <w:t>参加</w:t>
      </w:r>
      <w:r w:rsidR="001A44DF" w:rsidRPr="00173E66">
        <w:rPr>
          <w:rFonts w:ascii="仿宋" w:eastAsia="仿宋" w:hAnsi="仿宋" w:hint="eastAsia"/>
          <w:sz w:val="30"/>
          <w:szCs w:val="30"/>
        </w:rPr>
        <w:t>证券业协会组织的</w:t>
      </w:r>
      <w:r w:rsidRPr="00173E66">
        <w:rPr>
          <w:rFonts w:ascii="仿宋" w:eastAsia="仿宋" w:hAnsi="仿宋" w:hint="eastAsia"/>
          <w:sz w:val="30"/>
          <w:szCs w:val="30"/>
        </w:rPr>
        <w:t>《证券投资基金》、《证券市场基础》或《基金销售基础知识》科目</w:t>
      </w:r>
      <w:r w:rsidR="006D0C96" w:rsidRPr="00173E66">
        <w:rPr>
          <w:rFonts w:ascii="仿宋" w:eastAsia="仿宋" w:hAnsi="仿宋" w:hint="eastAsia"/>
          <w:sz w:val="30"/>
          <w:szCs w:val="30"/>
        </w:rPr>
        <w:t>考试，并成绩合格的，</w:t>
      </w:r>
      <w:r w:rsidR="00963738" w:rsidRPr="00173E66">
        <w:rPr>
          <w:rFonts w:ascii="仿宋" w:eastAsia="仿宋" w:hAnsi="仿宋" w:hint="eastAsia"/>
          <w:sz w:val="30"/>
          <w:szCs w:val="30"/>
        </w:rPr>
        <w:t>按照证券业协会成绩长期有效原则，</w:t>
      </w:r>
      <w:r w:rsidR="006D0C96" w:rsidRPr="00173E66">
        <w:rPr>
          <w:rFonts w:ascii="仿宋" w:eastAsia="仿宋" w:hAnsi="仿宋" w:hint="eastAsia"/>
          <w:sz w:val="30"/>
          <w:szCs w:val="30"/>
        </w:rPr>
        <w:t>基金业协会</w:t>
      </w:r>
      <w:r w:rsidR="00963738" w:rsidRPr="00173E66">
        <w:rPr>
          <w:rFonts w:ascii="仿宋" w:eastAsia="仿宋" w:hAnsi="仿宋" w:hint="eastAsia"/>
          <w:sz w:val="30"/>
          <w:szCs w:val="30"/>
        </w:rPr>
        <w:t>2017年7月1</w:t>
      </w:r>
      <w:r w:rsidR="00BD452E" w:rsidRPr="00173E66">
        <w:rPr>
          <w:rFonts w:ascii="仿宋" w:eastAsia="仿宋" w:hAnsi="仿宋" w:hint="eastAsia"/>
          <w:sz w:val="30"/>
          <w:szCs w:val="30"/>
        </w:rPr>
        <w:t>日前认可其每一科的成绩，自</w:t>
      </w:r>
      <w:r w:rsidR="00963738" w:rsidRPr="00173E66">
        <w:rPr>
          <w:rFonts w:ascii="仿宋" w:eastAsia="仿宋" w:hAnsi="仿宋" w:hint="eastAsia"/>
          <w:sz w:val="30"/>
          <w:szCs w:val="30"/>
        </w:rPr>
        <w:t>2017年7月1日后，成绩认定</w:t>
      </w:r>
      <w:r w:rsidR="00BD452E" w:rsidRPr="00173E66">
        <w:rPr>
          <w:rFonts w:ascii="仿宋" w:eastAsia="仿宋" w:hAnsi="仿宋" w:hint="eastAsia"/>
          <w:sz w:val="30"/>
          <w:szCs w:val="30"/>
        </w:rPr>
        <w:t>受四年有效期</w:t>
      </w:r>
      <w:r w:rsidR="00036292" w:rsidRPr="00173E66">
        <w:rPr>
          <w:rFonts w:ascii="仿宋" w:eastAsia="仿宋" w:hAnsi="仿宋" w:hint="eastAsia"/>
          <w:sz w:val="30"/>
          <w:szCs w:val="30"/>
        </w:rPr>
        <w:t>限制</w:t>
      </w:r>
      <w:r w:rsidRPr="00173E66">
        <w:rPr>
          <w:rFonts w:ascii="仿宋" w:eastAsia="仿宋" w:hAnsi="仿宋" w:hint="eastAsia"/>
          <w:sz w:val="30"/>
          <w:szCs w:val="30"/>
        </w:rPr>
        <w:t>。</w:t>
      </w:r>
    </w:p>
    <w:p w:rsidR="001B5104"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7</w:t>
      </w:r>
      <w:r w:rsidR="001B5104" w:rsidRPr="00173E66">
        <w:rPr>
          <w:rFonts w:ascii="黑体" w:eastAsia="黑体" w:hAnsi="黑体" w:hint="eastAsia"/>
          <w:sz w:val="30"/>
          <w:szCs w:val="30"/>
        </w:rPr>
        <w:t>、</w:t>
      </w:r>
      <w:r w:rsidR="00FD22F3" w:rsidRPr="00173E66">
        <w:rPr>
          <w:rFonts w:ascii="黑体" w:eastAsia="黑体" w:hAnsi="黑体" w:hint="eastAsia"/>
          <w:sz w:val="30"/>
          <w:szCs w:val="30"/>
        </w:rPr>
        <w:t>基金从业资格考试上线后，</w:t>
      </w:r>
      <w:r w:rsidR="001B5104" w:rsidRPr="00173E66">
        <w:rPr>
          <w:rFonts w:ascii="黑体" w:eastAsia="黑体" w:hAnsi="黑体" w:hint="eastAsia"/>
          <w:sz w:val="30"/>
          <w:szCs w:val="30"/>
        </w:rPr>
        <w:t>考试内容有何变化？看旧版教材是否够用？</w:t>
      </w:r>
    </w:p>
    <w:p w:rsidR="0005288F" w:rsidRPr="00173E66" w:rsidRDefault="001B5104" w:rsidP="00173E66">
      <w:pPr>
        <w:pStyle w:val="a5"/>
        <w:ind w:firstLineChars="200" w:firstLine="600"/>
        <w:contextualSpacing/>
        <w:rPr>
          <w:rFonts w:ascii="仿宋" w:eastAsia="仿宋" w:hAnsi="仿宋"/>
          <w:b/>
          <w:sz w:val="30"/>
          <w:szCs w:val="30"/>
        </w:rPr>
      </w:pPr>
      <w:r w:rsidRPr="00173E66">
        <w:rPr>
          <w:rFonts w:ascii="仿宋" w:eastAsia="仿宋" w:hAnsi="仿宋" w:hint="eastAsia"/>
          <w:sz w:val="30"/>
          <w:szCs w:val="30"/>
        </w:rPr>
        <w:t>（1）基金从业资格考试包含两个科目：</w:t>
      </w:r>
    </w:p>
    <w:p w:rsidR="001B5104" w:rsidRPr="00173E66" w:rsidRDefault="001B5104" w:rsidP="00173E66">
      <w:pPr>
        <w:pStyle w:val="a5"/>
        <w:ind w:firstLineChars="400" w:firstLine="1200"/>
        <w:contextualSpacing/>
        <w:rPr>
          <w:rFonts w:ascii="仿宋" w:eastAsia="仿宋" w:hAnsi="仿宋"/>
          <w:b/>
          <w:sz w:val="30"/>
          <w:szCs w:val="30"/>
        </w:rPr>
      </w:pPr>
      <w:r w:rsidRPr="00173E66">
        <w:rPr>
          <w:rFonts w:ascii="仿宋" w:eastAsia="仿宋" w:hAnsi="仿宋" w:hint="eastAsia"/>
          <w:sz w:val="30"/>
          <w:szCs w:val="30"/>
        </w:rPr>
        <w:t>科目一：基金法律法规、职业道德与业务规范；</w:t>
      </w:r>
    </w:p>
    <w:p w:rsidR="001B5104" w:rsidRPr="00173E66" w:rsidRDefault="001B5104" w:rsidP="00173E66">
      <w:pPr>
        <w:pStyle w:val="a5"/>
        <w:ind w:firstLineChars="402" w:firstLine="1206"/>
        <w:contextualSpacing/>
        <w:rPr>
          <w:rFonts w:ascii="仿宋" w:eastAsia="仿宋" w:hAnsi="仿宋"/>
          <w:sz w:val="30"/>
          <w:szCs w:val="30"/>
        </w:rPr>
      </w:pPr>
      <w:r w:rsidRPr="00173E66">
        <w:rPr>
          <w:rFonts w:ascii="仿宋" w:eastAsia="仿宋" w:hAnsi="仿宋" w:hint="eastAsia"/>
          <w:sz w:val="30"/>
          <w:szCs w:val="30"/>
        </w:rPr>
        <w:t>科目二：证券投资基金基础知识。</w:t>
      </w:r>
    </w:p>
    <w:p w:rsidR="001B5104" w:rsidRPr="00173E66" w:rsidRDefault="000E4429" w:rsidP="00173E66">
      <w:pPr>
        <w:pStyle w:val="a5"/>
        <w:ind w:firstLineChars="202" w:firstLine="606"/>
        <w:contextualSpacing/>
        <w:rPr>
          <w:rFonts w:ascii="仿宋" w:eastAsia="仿宋" w:hAnsi="仿宋"/>
          <w:sz w:val="30"/>
          <w:szCs w:val="30"/>
        </w:rPr>
      </w:pPr>
      <w:r w:rsidRPr="00173E66">
        <w:rPr>
          <w:rFonts w:ascii="仿宋" w:eastAsia="仿宋" w:hAnsi="仿宋" w:hint="eastAsia"/>
          <w:sz w:val="30"/>
          <w:szCs w:val="30"/>
        </w:rPr>
        <w:t>题型均为单项选择</w:t>
      </w:r>
      <w:r w:rsidR="00173F91" w:rsidRPr="00173E66">
        <w:rPr>
          <w:rFonts w:ascii="仿宋" w:eastAsia="仿宋" w:hAnsi="仿宋" w:hint="eastAsia"/>
          <w:sz w:val="30"/>
          <w:szCs w:val="30"/>
        </w:rPr>
        <w:t>，</w:t>
      </w:r>
      <w:r w:rsidR="001B5104" w:rsidRPr="00173E66">
        <w:rPr>
          <w:rFonts w:ascii="仿宋" w:eastAsia="仿宋" w:hAnsi="仿宋" w:hint="eastAsia"/>
          <w:sz w:val="30"/>
          <w:szCs w:val="30"/>
        </w:rPr>
        <w:t>题量均为100</w:t>
      </w:r>
      <w:r w:rsidRPr="00173E66">
        <w:rPr>
          <w:rFonts w:ascii="仿宋" w:eastAsia="仿宋" w:hAnsi="仿宋" w:hint="eastAsia"/>
          <w:sz w:val="30"/>
          <w:szCs w:val="30"/>
        </w:rPr>
        <w:t>道</w:t>
      </w:r>
      <w:r w:rsidR="001B5104" w:rsidRPr="00173E66">
        <w:rPr>
          <w:rFonts w:ascii="仿宋" w:eastAsia="仿宋" w:hAnsi="仿宋" w:hint="eastAsia"/>
          <w:sz w:val="30"/>
          <w:szCs w:val="30"/>
        </w:rPr>
        <w:t>，满分100分，60</w:t>
      </w:r>
      <w:r w:rsidR="00E85BED">
        <w:rPr>
          <w:rFonts w:ascii="仿宋" w:eastAsia="仿宋" w:hAnsi="仿宋" w:hint="eastAsia"/>
          <w:sz w:val="30"/>
          <w:szCs w:val="30"/>
        </w:rPr>
        <w:t>分合格</w:t>
      </w:r>
      <w:r w:rsidR="001B5104" w:rsidRPr="00173E66">
        <w:rPr>
          <w:rFonts w:ascii="仿宋" w:eastAsia="仿宋" w:hAnsi="仿宋" w:hint="eastAsia"/>
          <w:sz w:val="30"/>
          <w:szCs w:val="30"/>
        </w:rPr>
        <w:t>。</w:t>
      </w:r>
    </w:p>
    <w:p w:rsidR="00F868BE" w:rsidRDefault="001B5104" w:rsidP="00173E66">
      <w:pPr>
        <w:pStyle w:val="a5"/>
        <w:wordWrap w:val="0"/>
        <w:ind w:firstLineChars="200" w:firstLine="600"/>
        <w:contextualSpacing/>
        <w:rPr>
          <w:rFonts w:ascii="仿宋" w:eastAsia="仿宋" w:hAnsi="仿宋"/>
          <w:sz w:val="30"/>
          <w:szCs w:val="30"/>
        </w:rPr>
      </w:pPr>
      <w:r w:rsidRPr="00173E66">
        <w:rPr>
          <w:rFonts w:ascii="仿宋" w:eastAsia="仿宋" w:hAnsi="仿宋" w:hint="eastAsia"/>
          <w:sz w:val="30"/>
          <w:szCs w:val="30"/>
        </w:rPr>
        <w:t>考试内容涵盖基金行业概览、法律法规与职业道德、投资管理、运作管理、销售管理、内部控制和合规管理、国际化等七部分基本知识。具体考察内容详见</w:t>
      </w:r>
      <w:r w:rsidR="004A37CA" w:rsidRPr="00173E66">
        <w:rPr>
          <w:rFonts w:ascii="仿宋" w:eastAsia="仿宋" w:hAnsi="仿宋" w:hint="eastAsia"/>
          <w:sz w:val="30"/>
          <w:szCs w:val="30"/>
        </w:rPr>
        <w:t>协会官网</w:t>
      </w:r>
      <w:r w:rsidRPr="00173E66">
        <w:rPr>
          <w:rFonts w:ascii="仿宋" w:eastAsia="仿宋" w:hAnsi="仿宋" w:hint="eastAsia"/>
          <w:sz w:val="30"/>
          <w:szCs w:val="30"/>
        </w:rPr>
        <w:t>已发布的考试大纲:</w:t>
      </w:r>
    </w:p>
    <w:p w:rsidR="001B5104" w:rsidRPr="00173E66" w:rsidRDefault="001B5104" w:rsidP="00F868BE">
      <w:pPr>
        <w:pStyle w:val="a5"/>
        <w:wordWrap w:val="0"/>
        <w:contextualSpacing/>
        <w:rPr>
          <w:rFonts w:ascii="仿宋" w:eastAsia="仿宋" w:hAnsi="仿宋"/>
          <w:b/>
          <w:sz w:val="30"/>
          <w:szCs w:val="30"/>
        </w:rPr>
      </w:pPr>
      <w:r w:rsidRPr="00173E66">
        <w:rPr>
          <w:rFonts w:ascii="仿宋" w:eastAsia="仿宋" w:hAnsi="仿宋" w:hint="eastAsia"/>
          <w:sz w:val="30"/>
          <w:szCs w:val="30"/>
        </w:rPr>
        <w:t>http://www.amac.org.cn/cyrygl/kspt/cyryks/389548.shtml</w:t>
      </w:r>
    </w:p>
    <w:p w:rsidR="001B5104" w:rsidRPr="00173E66" w:rsidRDefault="001B5104"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（2）鉴于考试内容及体系的调整，旧版教材不再适用。基金从业资格考试所用教材为中国证券投资基金业协会组编的《证券投资基金》，分为上下两册，由高等教育出版社出版。教材购买链接：</w:t>
      </w:r>
    </w:p>
    <w:p w:rsidR="001B5104" w:rsidRPr="00B53C79" w:rsidRDefault="001B5104" w:rsidP="00173E66">
      <w:pPr>
        <w:pStyle w:val="a5"/>
        <w:wordWrap w:val="0"/>
        <w:ind w:left="2400" w:hangingChars="800" w:hanging="2400"/>
        <w:contextualSpacing/>
        <w:rPr>
          <w:rFonts w:ascii="仿宋" w:eastAsia="仿宋" w:hAnsi="仿宋"/>
          <w:sz w:val="30"/>
          <w:szCs w:val="30"/>
        </w:rPr>
      </w:pPr>
      <w:r w:rsidRPr="00173E66">
        <w:rPr>
          <w:rFonts w:ascii="仿宋" w:eastAsia="仿宋" w:hAnsi="仿宋" w:hint="eastAsia"/>
          <w:sz w:val="30"/>
          <w:szCs w:val="30"/>
        </w:rPr>
        <w:t>高教社网上书城：</w:t>
      </w:r>
      <w:hyperlink r:id="rId9" w:history="1">
        <w:r w:rsidRPr="00B53C79">
          <w:rPr>
            <w:rStyle w:val="a7"/>
            <w:rFonts w:ascii="仿宋" w:eastAsia="仿宋" w:hAnsi="仿宋"/>
            <w:color w:val="auto"/>
            <w:sz w:val="30"/>
            <w:szCs w:val="30"/>
            <w:u w:val="none"/>
          </w:rPr>
          <w:t>http://www.landraco.com/index.php/gallery-</w:t>
        </w:r>
      </w:hyperlink>
      <w:r w:rsidRPr="00B53C79">
        <w:rPr>
          <w:rFonts w:ascii="仿宋" w:eastAsia="仿宋" w:hAnsi="仿宋"/>
          <w:sz w:val="30"/>
          <w:szCs w:val="30"/>
        </w:rPr>
        <w:t>index---0---44.html</w:t>
      </w:r>
    </w:p>
    <w:p w:rsidR="001B5104" w:rsidRPr="00173E66" w:rsidRDefault="001B5104" w:rsidP="00173E66">
      <w:pPr>
        <w:pStyle w:val="a5"/>
        <w:ind w:left="3300" w:hangingChars="1100" w:hanging="3300"/>
        <w:contextualSpacing/>
        <w:rPr>
          <w:rFonts w:ascii="仿宋" w:eastAsia="仿宋" w:hAnsi="仿宋"/>
          <w:sz w:val="30"/>
          <w:szCs w:val="30"/>
        </w:rPr>
      </w:pPr>
      <w:r w:rsidRPr="00173E66">
        <w:rPr>
          <w:rFonts w:ascii="仿宋" w:eastAsia="仿宋" w:hAnsi="仿宋" w:hint="eastAsia"/>
          <w:sz w:val="30"/>
          <w:szCs w:val="30"/>
        </w:rPr>
        <w:lastRenderedPageBreak/>
        <w:t>高教社天猫旗舰店：</w:t>
      </w:r>
      <w:r w:rsidRPr="00173E66">
        <w:rPr>
          <w:rFonts w:ascii="仿宋" w:eastAsia="仿宋" w:hAnsi="仿宋"/>
          <w:sz w:val="30"/>
          <w:szCs w:val="30"/>
        </w:rPr>
        <w:t>http://gdjycbs.tmall.com/p/rd886762.htm</w:t>
      </w:r>
      <w:r w:rsidRPr="00173E66">
        <w:rPr>
          <w:rFonts w:ascii="仿宋" w:eastAsia="仿宋" w:hAnsi="仿宋" w:hint="eastAsia"/>
          <w:sz w:val="30"/>
          <w:szCs w:val="30"/>
        </w:rPr>
        <w:t xml:space="preserve"> </w:t>
      </w:r>
    </w:p>
    <w:p w:rsidR="001B5104" w:rsidRPr="00173E66" w:rsidRDefault="001B5104" w:rsidP="00173E66">
      <w:pPr>
        <w:pStyle w:val="a5"/>
        <w:ind w:left="1200" w:hangingChars="400" w:hanging="1200"/>
        <w:contextualSpacing/>
        <w:rPr>
          <w:rFonts w:ascii="仿宋" w:eastAsia="仿宋" w:hAnsi="仿宋"/>
          <w:sz w:val="30"/>
          <w:szCs w:val="30"/>
        </w:rPr>
      </w:pPr>
      <w:r w:rsidRPr="00173E66">
        <w:rPr>
          <w:rFonts w:ascii="仿宋" w:eastAsia="仿宋" w:hAnsi="仿宋" w:hint="eastAsia"/>
          <w:sz w:val="30"/>
          <w:szCs w:val="30"/>
        </w:rPr>
        <w:t>当当网：http://product.dangdang.com/23715639.html</w:t>
      </w:r>
      <w:r w:rsidRPr="00173E66">
        <w:rPr>
          <w:rFonts w:ascii="仿宋" w:eastAsia="仿宋" w:hAnsi="仿宋"/>
          <w:sz w:val="30"/>
          <w:szCs w:val="30"/>
        </w:rPr>
        <w:t xml:space="preserve">                      http://product.dangdang.com/23715638.html</w:t>
      </w:r>
    </w:p>
    <w:p w:rsidR="001B5104" w:rsidRPr="00B53C79" w:rsidRDefault="001B5104" w:rsidP="00173E66">
      <w:pPr>
        <w:pStyle w:val="a5"/>
        <w:ind w:left="1200" w:hangingChars="400" w:hanging="1200"/>
        <w:contextualSpacing/>
        <w:rPr>
          <w:rFonts w:ascii="仿宋" w:eastAsia="仿宋" w:hAnsi="仿宋"/>
          <w:sz w:val="30"/>
          <w:szCs w:val="30"/>
        </w:rPr>
      </w:pPr>
      <w:r w:rsidRPr="00173E66">
        <w:rPr>
          <w:rFonts w:ascii="仿宋" w:eastAsia="仿宋" w:hAnsi="仿宋" w:hint="eastAsia"/>
          <w:sz w:val="30"/>
          <w:szCs w:val="30"/>
        </w:rPr>
        <w:t>亚马逊：http://www.amazon.cn/dp/B00ZBE8HJQ</w:t>
      </w:r>
      <w:r w:rsidRPr="00173E66">
        <w:rPr>
          <w:rFonts w:ascii="仿宋" w:eastAsia="仿宋" w:hAnsi="仿宋"/>
          <w:sz w:val="30"/>
          <w:szCs w:val="30"/>
        </w:rPr>
        <w:t xml:space="preserve">                      </w:t>
      </w:r>
      <w:bookmarkStart w:id="0" w:name="_GoBack"/>
      <w:r w:rsidR="00EC5757" w:rsidRPr="00B53C79">
        <w:fldChar w:fldCharType="begin"/>
      </w:r>
      <w:r w:rsidR="00EC5757" w:rsidRPr="00B53C79">
        <w:instrText xml:space="preserve"> HYPERLINK "http://www.amazon.cn/dp/B00ZBE8H</w:instrText>
      </w:r>
      <w:r w:rsidR="00EC5757" w:rsidRPr="00B53C79">
        <w:instrText xml:space="preserve">AK" </w:instrText>
      </w:r>
      <w:r w:rsidR="00EC5757" w:rsidRPr="00B53C79">
        <w:fldChar w:fldCharType="separate"/>
      </w:r>
      <w:r w:rsidRPr="00B53C79">
        <w:rPr>
          <w:rStyle w:val="a7"/>
          <w:rFonts w:ascii="仿宋" w:eastAsia="仿宋" w:hAnsi="仿宋"/>
          <w:color w:val="auto"/>
          <w:sz w:val="30"/>
          <w:szCs w:val="30"/>
          <w:u w:val="none"/>
        </w:rPr>
        <w:t>http://www.amazon.cn/dp/B00ZBE8HAK</w:t>
      </w:r>
      <w:r w:rsidR="00EC5757" w:rsidRPr="00B53C79">
        <w:rPr>
          <w:rStyle w:val="a7"/>
          <w:rFonts w:ascii="仿宋" w:eastAsia="仿宋" w:hAnsi="仿宋"/>
          <w:color w:val="auto"/>
          <w:sz w:val="30"/>
          <w:szCs w:val="30"/>
          <w:u w:val="none"/>
        </w:rPr>
        <w:fldChar w:fldCharType="end"/>
      </w:r>
    </w:p>
    <w:bookmarkEnd w:id="0"/>
    <w:p w:rsidR="001B5104"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8</w:t>
      </w:r>
      <w:r w:rsidR="001B5104" w:rsidRPr="00173E66">
        <w:rPr>
          <w:rFonts w:ascii="黑体" w:eastAsia="黑体" w:hAnsi="黑体" w:hint="eastAsia"/>
          <w:sz w:val="30"/>
          <w:szCs w:val="30"/>
        </w:rPr>
        <w:t>、目前基金从业资格考试成绩有效期</w:t>
      </w:r>
      <w:r w:rsidR="00C7502B" w:rsidRPr="00173E66">
        <w:rPr>
          <w:rFonts w:ascii="黑体" w:eastAsia="黑体" w:hAnsi="黑体" w:hint="eastAsia"/>
          <w:sz w:val="30"/>
          <w:szCs w:val="30"/>
        </w:rPr>
        <w:t>是否有年限规定</w:t>
      </w:r>
      <w:r w:rsidR="001B5104" w:rsidRPr="00173E66">
        <w:rPr>
          <w:rFonts w:ascii="黑体" w:eastAsia="黑体" w:hAnsi="黑体" w:hint="eastAsia"/>
          <w:sz w:val="30"/>
          <w:szCs w:val="30"/>
        </w:rPr>
        <w:t>？</w:t>
      </w:r>
      <w:r w:rsidR="00C7502B" w:rsidRPr="00173E66">
        <w:rPr>
          <w:rFonts w:ascii="黑体" w:eastAsia="黑体" w:hAnsi="黑体" w:hint="eastAsia"/>
          <w:sz w:val="30"/>
          <w:szCs w:val="30"/>
        </w:rPr>
        <w:t>通</w:t>
      </w:r>
      <w:r w:rsidR="001B5104" w:rsidRPr="00173E66">
        <w:rPr>
          <w:rFonts w:ascii="黑体" w:eastAsia="黑体" w:hAnsi="黑体" w:hint="eastAsia"/>
          <w:sz w:val="30"/>
          <w:szCs w:val="30"/>
        </w:rPr>
        <w:t>过证券业协会组织的相关考试科目的，4年</w:t>
      </w:r>
      <w:r w:rsidR="000E4429" w:rsidRPr="00173E66">
        <w:rPr>
          <w:rFonts w:ascii="黑体" w:eastAsia="黑体" w:hAnsi="黑体" w:hint="eastAsia"/>
          <w:sz w:val="30"/>
          <w:szCs w:val="30"/>
        </w:rPr>
        <w:t>成绩有效期</w:t>
      </w:r>
      <w:r w:rsidR="001B5104" w:rsidRPr="00173E66">
        <w:rPr>
          <w:rFonts w:ascii="黑体" w:eastAsia="黑体" w:hAnsi="黑体" w:hint="eastAsia"/>
          <w:sz w:val="30"/>
          <w:szCs w:val="30"/>
        </w:rPr>
        <w:t>是从何时开始</w:t>
      </w:r>
      <w:r w:rsidR="00D23409" w:rsidRPr="00173E66">
        <w:rPr>
          <w:rFonts w:ascii="黑体" w:eastAsia="黑体" w:hAnsi="黑体" w:hint="eastAsia"/>
          <w:sz w:val="30"/>
          <w:szCs w:val="30"/>
        </w:rPr>
        <w:t>计</w:t>
      </w:r>
      <w:r w:rsidR="001B5104" w:rsidRPr="00173E66">
        <w:rPr>
          <w:rFonts w:ascii="黑体" w:eastAsia="黑体" w:hAnsi="黑体" w:hint="eastAsia"/>
          <w:sz w:val="30"/>
          <w:szCs w:val="30"/>
        </w:rPr>
        <w:t>算的？</w:t>
      </w:r>
    </w:p>
    <w:p w:rsidR="001B5104" w:rsidRPr="00173E66" w:rsidRDefault="001B5104"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1）目前基金从业资格考试成绩有效期为四年，即已通过科目一和科目二的，应当在四年内通过所在机构向基金业协会申请注册基金从业资格；超过四年未通过所在机构向基金业协会申请注册基金从业资格的，需重新参加科目一和科目二考试，或补齐最近两年的后续培训学时后，通过所在机构向基金业协会申请注册基金从业资格。</w:t>
      </w:r>
    </w:p>
    <w:p w:rsidR="001B5104" w:rsidRPr="00173E66" w:rsidRDefault="001B5104" w:rsidP="00173E66">
      <w:pPr>
        <w:pStyle w:val="a5"/>
        <w:ind w:firstLineChars="200" w:firstLine="600"/>
        <w:contextualSpacing/>
        <w:rPr>
          <w:rFonts w:ascii="仿宋" w:eastAsia="仿宋" w:hAnsi="仿宋"/>
          <w:color w:val="000000"/>
          <w:sz w:val="30"/>
          <w:szCs w:val="30"/>
        </w:rPr>
      </w:pPr>
      <w:r w:rsidRPr="00173E66">
        <w:rPr>
          <w:rFonts w:ascii="仿宋" w:eastAsia="仿宋" w:hAnsi="仿宋" w:hint="eastAsia"/>
          <w:color w:val="000000"/>
          <w:sz w:val="30"/>
          <w:szCs w:val="30"/>
        </w:rPr>
        <w:t>（2）已通过证券业协会组织的从业资格考试的，四年成绩有效期认定从取得考试成绩合格证之日起开始计算，自2017年7月1日执行。</w:t>
      </w:r>
    </w:p>
    <w:p w:rsidR="005C1800" w:rsidRPr="00173E66" w:rsidRDefault="002E708D"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t>9</w:t>
      </w:r>
      <w:r w:rsidR="005C1800" w:rsidRPr="00173E66">
        <w:rPr>
          <w:rFonts w:ascii="黑体" w:eastAsia="黑体" w:hAnsi="黑体" w:hint="eastAsia"/>
          <w:sz w:val="30"/>
          <w:szCs w:val="30"/>
        </w:rPr>
        <w:t>、“已经通过《基金销售基础知识》，</w:t>
      </w:r>
      <w:r w:rsidR="00C7502B" w:rsidRPr="00173E66">
        <w:rPr>
          <w:rFonts w:ascii="黑体" w:eastAsia="黑体" w:hAnsi="黑体" w:hint="eastAsia"/>
          <w:sz w:val="30"/>
          <w:szCs w:val="30"/>
        </w:rPr>
        <w:t>并已在相关机构任职的，认可其基金销售资格。”这里说的“相关机构”</w:t>
      </w:r>
      <w:r w:rsidR="005C1800" w:rsidRPr="00173E66">
        <w:rPr>
          <w:rFonts w:ascii="黑体" w:eastAsia="黑体" w:hAnsi="黑体" w:hint="eastAsia"/>
          <w:sz w:val="30"/>
          <w:szCs w:val="30"/>
        </w:rPr>
        <w:t>包括银行吗？</w:t>
      </w:r>
      <w:r w:rsidR="005B7AD8" w:rsidRPr="00173E66">
        <w:rPr>
          <w:rFonts w:ascii="仿宋" w:eastAsia="仿宋" w:hAnsi="仿宋"/>
          <w:b/>
          <w:sz w:val="30"/>
          <w:szCs w:val="30"/>
        </w:rPr>
        <w:t xml:space="preserve"> </w:t>
      </w:r>
    </w:p>
    <w:p w:rsidR="005C1800" w:rsidRPr="00173E66" w:rsidRDefault="005C1800" w:rsidP="005C1800">
      <w:pPr>
        <w:pStyle w:val="a5"/>
        <w:ind w:firstLine="570"/>
        <w:contextualSpacing/>
        <w:rPr>
          <w:rFonts w:ascii="仿宋" w:eastAsia="仿宋" w:hAnsi="仿宋"/>
          <w:sz w:val="30"/>
          <w:szCs w:val="30"/>
        </w:rPr>
      </w:pPr>
      <w:r w:rsidRPr="00173E66">
        <w:rPr>
          <w:rFonts w:ascii="仿宋" w:eastAsia="仿宋" w:hAnsi="仿宋" w:hint="eastAsia"/>
          <w:sz w:val="30"/>
          <w:szCs w:val="30"/>
        </w:rPr>
        <w:lastRenderedPageBreak/>
        <w:t>依据《证券投资基金销售管理办法》（</w:t>
      </w:r>
      <w:r w:rsidR="00E97416" w:rsidRPr="00173E66">
        <w:rPr>
          <w:rFonts w:ascii="仿宋" w:eastAsia="仿宋" w:hAnsi="仿宋" w:hint="eastAsia"/>
          <w:sz w:val="30"/>
          <w:szCs w:val="30"/>
        </w:rPr>
        <w:t>证监会令</w:t>
      </w:r>
      <w:r w:rsidR="004E654B" w:rsidRPr="00173E66">
        <w:rPr>
          <w:rFonts w:ascii="仿宋" w:eastAsia="仿宋" w:hAnsi="仿宋" w:hint="eastAsia"/>
          <w:sz w:val="30"/>
          <w:szCs w:val="30"/>
        </w:rPr>
        <w:t>第91号</w:t>
      </w:r>
      <w:r w:rsidRPr="00173E66">
        <w:rPr>
          <w:rFonts w:ascii="仿宋" w:eastAsia="仿宋" w:hAnsi="仿宋" w:hint="eastAsia"/>
          <w:sz w:val="30"/>
          <w:szCs w:val="30"/>
        </w:rPr>
        <w:t>）规定，所述相关机构，包括基金管理人、商业银行（含在华外资法人银行）、证券公司、期货公司、保险机构、证券投资咨询机构、独立基金销售机构以及中国证监会认定的其他机构。</w:t>
      </w:r>
    </w:p>
    <w:p w:rsidR="00E73AD5" w:rsidRPr="00173E66" w:rsidRDefault="002E708D"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t>10</w:t>
      </w:r>
      <w:r w:rsidR="00E73AD5" w:rsidRPr="00173E66">
        <w:rPr>
          <w:rFonts w:ascii="黑体" w:eastAsia="黑体" w:hAnsi="黑体" w:hint="eastAsia"/>
          <w:sz w:val="30"/>
          <w:szCs w:val="30"/>
        </w:rPr>
        <w:t>、如果银行作为托管机构已经在基金业协会申请了机构会员账户，再作为销售机构进行基金管理人员和销售人员的注册时是否需要重新申请机构会员账户？</w:t>
      </w:r>
      <w:r w:rsidR="00E73AD5" w:rsidRPr="00173E66">
        <w:rPr>
          <w:rFonts w:ascii="仿宋" w:eastAsia="仿宋" w:hAnsi="仿宋" w:hint="eastAsia"/>
          <w:b/>
          <w:sz w:val="30"/>
          <w:szCs w:val="30"/>
        </w:rPr>
        <w:t xml:space="preserve"> </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依银行内部管理架构而定，以便于银行管理为原则，由银行自身确定是否重新申请机构会员账户。</w:t>
      </w:r>
    </w:p>
    <w:p w:rsidR="00D33A5C"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11</w:t>
      </w:r>
      <w:r w:rsidR="006E0555" w:rsidRPr="00173E66">
        <w:rPr>
          <w:rFonts w:ascii="黑体" w:eastAsia="黑体" w:hAnsi="黑体" w:hint="eastAsia"/>
          <w:sz w:val="30"/>
          <w:szCs w:val="30"/>
        </w:rPr>
        <w:t>、</w:t>
      </w:r>
      <w:r w:rsidR="00273295" w:rsidRPr="00173E66">
        <w:rPr>
          <w:rFonts w:ascii="黑体" w:eastAsia="黑体" w:hAnsi="黑体" w:hint="eastAsia"/>
          <w:sz w:val="30"/>
          <w:szCs w:val="30"/>
        </w:rPr>
        <w:t>机构如何为通过考试的从业人员</w:t>
      </w:r>
      <w:r w:rsidR="006E0555" w:rsidRPr="00173E66">
        <w:rPr>
          <w:rFonts w:ascii="黑体" w:eastAsia="黑体" w:hAnsi="黑体" w:hint="eastAsia"/>
          <w:sz w:val="30"/>
          <w:szCs w:val="30"/>
        </w:rPr>
        <w:t>申请注册基金从业资格？是总行统一申请注册还是各分行申请注册？</w:t>
      </w:r>
    </w:p>
    <w:p w:rsidR="003B0417" w:rsidRPr="00173E66" w:rsidRDefault="007527F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（1）</w:t>
      </w:r>
      <w:r w:rsidR="003B0417" w:rsidRPr="00173E66">
        <w:rPr>
          <w:rFonts w:ascii="仿宋" w:eastAsia="仿宋" w:hAnsi="仿宋" w:hint="eastAsia"/>
          <w:sz w:val="30"/>
          <w:szCs w:val="30"/>
        </w:rPr>
        <w:t>首先机构向基金业协会申请从业人员管理系统账户</w:t>
      </w:r>
      <w:r w:rsidR="00621C9E" w:rsidRPr="00173E66">
        <w:rPr>
          <w:rFonts w:ascii="仿宋" w:eastAsia="仿宋" w:hAnsi="仿宋" w:hint="eastAsia"/>
          <w:sz w:val="30"/>
          <w:szCs w:val="30"/>
        </w:rPr>
        <w:t>（</w:t>
      </w:r>
    </w:p>
    <w:p w:rsidR="00CC19E7" w:rsidRPr="00173E66" w:rsidRDefault="00174942" w:rsidP="003B0417">
      <w:pPr>
        <w:pStyle w:val="a5"/>
        <w:wordWrap w:val="0"/>
        <w:contextualSpacing/>
        <w:rPr>
          <w:rFonts w:ascii="仿宋" w:eastAsia="仿宋" w:hAnsi="仿宋"/>
          <w:sz w:val="30"/>
          <w:szCs w:val="30"/>
        </w:rPr>
      </w:pPr>
      <w:r w:rsidRPr="00173E66">
        <w:rPr>
          <w:rFonts w:ascii="仿宋" w:eastAsia="仿宋" w:hAnsi="仿宋" w:hint="eastAsia"/>
          <w:sz w:val="30"/>
          <w:szCs w:val="30"/>
        </w:rPr>
        <w:t>申请流程详见：</w:t>
      </w:r>
      <w:r w:rsidR="003B0417" w:rsidRPr="00173E66">
        <w:rPr>
          <w:rFonts w:ascii="仿宋" w:eastAsia="仿宋" w:hAnsi="仿宋" w:hint="eastAsia"/>
          <w:sz w:val="30"/>
          <w:szCs w:val="30"/>
        </w:rPr>
        <w:t>h</w:t>
      </w:r>
      <w:r w:rsidR="003B0417" w:rsidRPr="00173E66">
        <w:rPr>
          <w:rFonts w:ascii="仿宋" w:eastAsia="仿宋" w:hAnsi="仿宋"/>
          <w:sz w:val="30"/>
          <w:szCs w:val="30"/>
        </w:rPr>
        <w:t>ttp://www.amac.org.cn/cyrygl/cyryglsqlc/385899.shtml</w:t>
      </w:r>
      <w:r w:rsidR="00621C9E" w:rsidRPr="00173E66">
        <w:rPr>
          <w:rFonts w:ascii="仿宋" w:eastAsia="仿宋" w:hAnsi="仿宋" w:hint="eastAsia"/>
          <w:sz w:val="30"/>
          <w:szCs w:val="30"/>
        </w:rPr>
        <w:t>）</w:t>
      </w:r>
      <w:r w:rsidR="003B0417" w:rsidRPr="00173E66">
        <w:rPr>
          <w:rFonts w:ascii="仿宋" w:eastAsia="仿宋" w:hAnsi="仿宋" w:hint="eastAsia"/>
          <w:sz w:val="30"/>
          <w:szCs w:val="30"/>
        </w:rPr>
        <w:t>，</w:t>
      </w:r>
      <w:r w:rsidR="008B35F9" w:rsidRPr="00173E66">
        <w:rPr>
          <w:rFonts w:ascii="仿宋" w:eastAsia="仿宋" w:hAnsi="仿宋" w:hint="eastAsia"/>
          <w:sz w:val="30"/>
          <w:szCs w:val="30"/>
        </w:rPr>
        <w:t>然后</w:t>
      </w:r>
      <w:r w:rsidR="007527F5" w:rsidRPr="00173E66">
        <w:rPr>
          <w:rFonts w:ascii="仿宋" w:eastAsia="仿宋" w:hAnsi="仿宋" w:hint="eastAsia"/>
          <w:sz w:val="30"/>
          <w:szCs w:val="30"/>
        </w:rPr>
        <w:t>机构</w:t>
      </w:r>
      <w:r w:rsidRPr="00173E66">
        <w:rPr>
          <w:rFonts w:ascii="仿宋" w:eastAsia="仿宋" w:hAnsi="仿宋" w:hint="eastAsia"/>
          <w:sz w:val="30"/>
          <w:szCs w:val="30"/>
        </w:rPr>
        <w:t>资格</w:t>
      </w:r>
      <w:r w:rsidR="007527F5" w:rsidRPr="00173E66">
        <w:rPr>
          <w:rFonts w:ascii="仿宋" w:eastAsia="仿宋" w:hAnsi="仿宋" w:hint="eastAsia"/>
          <w:sz w:val="30"/>
          <w:szCs w:val="30"/>
        </w:rPr>
        <w:t>管理员可通过管理平台</w:t>
      </w:r>
      <w:r w:rsidR="00E547B3" w:rsidRPr="00173E66">
        <w:rPr>
          <w:rFonts w:ascii="仿宋" w:eastAsia="仿宋" w:hAnsi="仿宋" w:hint="eastAsia"/>
          <w:sz w:val="30"/>
          <w:szCs w:val="30"/>
        </w:rPr>
        <w:t>为从业人员</w:t>
      </w:r>
      <w:r w:rsidR="00621C9E" w:rsidRPr="00173E66">
        <w:rPr>
          <w:rFonts w:ascii="仿宋" w:eastAsia="仿宋" w:hAnsi="仿宋" w:hint="eastAsia"/>
          <w:sz w:val="30"/>
          <w:szCs w:val="30"/>
        </w:rPr>
        <w:t>申请注册</w:t>
      </w:r>
      <w:r w:rsidR="00591B45" w:rsidRPr="00173E66">
        <w:rPr>
          <w:rFonts w:ascii="仿宋" w:eastAsia="仿宋" w:hAnsi="仿宋" w:hint="eastAsia"/>
          <w:sz w:val="30"/>
          <w:szCs w:val="30"/>
        </w:rPr>
        <w:t>基金从业资格</w:t>
      </w:r>
      <w:r w:rsidR="00621C9E" w:rsidRPr="00173E66">
        <w:rPr>
          <w:rFonts w:ascii="仿宋" w:eastAsia="仿宋" w:hAnsi="仿宋" w:hint="eastAsia"/>
          <w:sz w:val="30"/>
          <w:szCs w:val="30"/>
        </w:rPr>
        <w:t>，操作流程</w:t>
      </w:r>
      <w:r w:rsidR="008B35F9" w:rsidRPr="00173E66">
        <w:rPr>
          <w:rFonts w:ascii="仿宋" w:eastAsia="仿宋" w:hAnsi="仿宋" w:hint="eastAsia"/>
          <w:sz w:val="30"/>
          <w:szCs w:val="30"/>
        </w:rPr>
        <w:t>如下</w:t>
      </w:r>
      <w:r w:rsidR="00621C9E" w:rsidRPr="00173E66">
        <w:rPr>
          <w:rFonts w:ascii="仿宋" w:eastAsia="仿宋" w:hAnsi="仿宋" w:hint="eastAsia"/>
          <w:sz w:val="30"/>
          <w:szCs w:val="30"/>
        </w:rPr>
        <w:t>：</w:t>
      </w:r>
    </w:p>
    <w:p w:rsidR="00F0549D" w:rsidRPr="00173E66" w:rsidRDefault="00C024CD" w:rsidP="00F0549D">
      <w:pPr>
        <w:pStyle w:val="a5"/>
        <w:contextualSpacing/>
        <w:rPr>
          <w:rFonts w:ascii="仿宋" w:eastAsia="仿宋" w:hAnsi="仿宋"/>
          <w:sz w:val="30"/>
          <w:szCs w:val="30"/>
        </w:rPr>
      </w:pPr>
      <w:r w:rsidRPr="00173E66">
        <w:rPr>
          <w:rFonts w:ascii="仿宋" w:eastAsia="仿宋" w:hAnsi="仿宋"/>
          <w:noProof/>
          <w:sz w:val="30"/>
          <w:szCs w:val="30"/>
        </w:rPr>
        <mc:AlternateContent>
          <mc:Choice Requires="wps">
            <w:drawing>
              <wp:anchor distT="0" distB="0" distL="114300" distR="114300" simplePos="0" relativeHeight="251670528" behindDoc="0" locked="0" layoutInCell="1" allowOverlap="1" wp14:anchorId="7ACB32DF" wp14:editId="606B9091">
                <wp:simplePos x="0" y="0"/>
                <wp:positionH relativeFrom="column">
                  <wp:posOffset>4701540</wp:posOffset>
                </wp:positionH>
                <wp:positionV relativeFrom="paragraph">
                  <wp:posOffset>194310</wp:posOffset>
                </wp:positionV>
                <wp:extent cx="251460" cy="0"/>
                <wp:effectExtent l="0" t="76200" r="15240" b="114300"/>
                <wp:wrapNone/>
                <wp:docPr id="9" name="直接箭头连接符 9"/>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9" o:spid="_x0000_s1026" type="#_x0000_t32" style="position:absolute;left:0;text-align:left;margin-left:370.2pt;margin-top:15.3pt;width:19.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" strokecolor="black [3213]">
                <v:stroke endarrow="open"/>
              </v:shape>
            </w:pict>
          </mc:Fallback>
        </mc:AlternateContent>
      </w:r>
      <w:r w:rsidRPr="00173E66">
        <w:rPr>
          <w:rFonts w:ascii="仿宋" w:eastAsia="仿宋" w:hAnsi="仿宋"/>
          <w:noProof/>
          <w:sz w:val="30"/>
          <w:szCs w:val="30"/>
        </w:rPr>
        <mc:AlternateContent>
          <mc:Choice Requires="wps">
            <w:drawing>
              <wp:anchor distT="0" distB="0" distL="114300" distR="114300" simplePos="0" relativeHeight="251666432" behindDoc="0" locked="0" layoutInCell="1" allowOverlap="1" wp14:anchorId="7DB8B3F5" wp14:editId="31DCA99A">
                <wp:simplePos x="0" y="0"/>
                <wp:positionH relativeFrom="column">
                  <wp:posOffset>3644265</wp:posOffset>
                </wp:positionH>
                <wp:positionV relativeFrom="paragraph">
                  <wp:posOffset>194310</wp:posOffset>
                </wp:positionV>
                <wp:extent cx="251460" cy="0"/>
                <wp:effectExtent l="0" t="76200" r="15240" b="114300"/>
                <wp:wrapNone/>
                <wp:docPr id="4" name="直接箭头连接符 4"/>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 o:spid="_x0000_s1026" type="#_x0000_t32" style="position:absolute;left:0;text-align:left;margin-left:286.95pt;margin-top:15.3pt;width:19.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" strokecolor="black [3213]">
                <v:stroke endarrow="open"/>
              </v:shape>
            </w:pict>
          </mc:Fallback>
        </mc:AlternateContent>
      </w:r>
      <w:r w:rsidRPr="00173E66">
        <w:rPr>
          <w:rFonts w:ascii="仿宋" w:eastAsia="仿宋" w:hAnsi="仿宋"/>
          <w:noProof/>
          <w:sz w:val="30"/>
          <w:szCs w:val="30"/>
        </w:rPr>
        <mc:AlternateContent>
          <mc:Choice Requires="wps">
            <w:drawing>
              <wp:anchor distT="0" distB="0" distL="114300" distR="114300" simplePos="0" relativeHeight="251664384" behindDoc="0" locked="0" layoutInCell="1" allowOverlap="1" wp14:anchorId="79634C7D" wp14:editId="717A458D">
                <wp:simplePos x="0" y="0"/>
                <wp:positionH relativeFrom="column">
                  <wp:posOffset>2596515</wp:posOffset>
                </wp:positionH>
                <wp:positionV relativeFrom="paragraph">
                  <wp:posOffset>194310</wp:posOffset>
                </wp:positionV>
                <wp:extent cx="251460" cy="0"/>
                <wp:effectExtent l="0" t="76200" r="15240" b="114300"/>
                <wp:wrapNone/>
                <wp:docPr id="3" name="直接箭头连接符 3"/>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type="#_x0000_t32" style="position:absolute;left:0;text-align:left;margin-left:204.45pt;margin-top:15.3pt;width:19.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" strokecolor="black [3213]">
                <v:stroke endarrow="open"/>
              </v:shape>
            </w:pict>
          </mc:Fallback>
        </mc:AlternateContent>
      </w:r>
      <w:r w:rsidR="008B6064" w:rsidRPr="00173E66">
        <w:rPr>
          <w:rFonts w:ascii="仿宋" w:eastAsia="仿宋" w:hAnsi="仿宋"/>
          <w:noProof/>
          <w:sz w:val="30"/>
          <w:szCs w:val="30"/>
        </w:rPr>
        <mc:AlternateContent>
          <mc:Choice Requires="wps">
            <w:drawing>
              <wp:anchor distT="0" distB="0" distL="114300" distR="114300" simplePos="0" relativeHeight="251662336" behindDoc="0" locked="0" layoutInCell="1" allowOverlap="1" wp14:anchorId="3E8BD088" wp14:editId="14CBBC60">
                <wp:simplePos x="0" y="0"/>
                <wp:positionH relativeFrom="column">
                  <wp:posOffset>1539240</wp:posOffset>
                </wp:positionH>
                <wp:positionV relativeFrom="paragraph">
                  <wp:posOffset>194310</wp:posOffset>
                </wp:positionV>
                <wp:extent cx="251460" cy="0"/>
                <wp:effectExtent l="0" t="76200" r="15240" b="114300"/>
                <wp:wrapNone/>
                <wp:docPr id="2" name="直接箭头连接符 2"/>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 o:spid="_x0000_s1026" type="#_x0000_t32" style="position:absolute;left:0;text-align:left;margin-left:121.2pt;margin-top:15.3pt;width:19.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" strokecolor="black [3213]">
                <v:stroke endarrow="open"/>
              </v:shape>
            </w:pict>
          </mc:Fallback>
        </mc:AlternateContent>
      </w:r>
      <w:r w:rsidR="00F0549D" w:rsidRPr="00173E66">
        <w:rPr>
          <w:rFonts w:ascii="仿宋" w:eastAsia="仿宋" w:hAnsi="仿宋" w:hint="eastAsia"/>
          <w:sz w:val="30"/>
          <w:szCs w:val="30"/>
        </w:rPr>
        <w:t>个人提交注册申请</w:t>
      </w:r>
      <w:r>
        <w:rPr>
          <w:rFonts w:ascii="仿宋" w:eastAsia="仿宋" w:hAnsi="仿宋" w:hint="eastAsia"/>
          <w:sz w:val="30"/>
          <w:szCs w:val="30"/>
        </w:rPr>
        <w:t xml:space="preserve">   </w:t>
      </w:r>
      <w:r w:rsidR="00F0549D" w:rsidRPr="00173E66">
        <w:rPr>
          <w:rFonts w:ascii="仿宋" w:eastAsia="仿宋" w:hAnsi="仿宋" w:hint="eastAsia"/>
          <w:sz w:val="30"/>
          <w:szCs w:val="30"/>
        </w:rPr>
        <w:t>机构审核   内部公示</w:t>
      </w:r>
      <w:r>
        <w:rPr>
          <w:rFonts w:ascii="仿宋" w:eastAsia="仿宋" w:hAnsi="仿宋" w:hint="eastAsia"/>
          <w:sz w:val="30"/>
          <w:szCs w:val="30"/>
        </w:rPr>
        <w:t xml:space="preserve"> </w:t>
      </w:r>
      <w:r w:rsidR="00F0549D" w:rsidRPr="00173E66">
        <w:rPr>
          <w:rFonts w:ascii="仿宋" w:eastAsia="仿宋" w:hAnsi="仿宋" w:hint="eastAsia"/>
          <w:sz w:val="30"/>
          <w:szCs w:val="30"/>
        </w:rPr>
        <w:t xml:space="preserve">  机构提交</w:t>
      </w:r>
      <w:r>
        <w:rPr>
          <w:rFonts w:ascii="仿宋" w:eastAsia="仿宋" w:hAnsi="仿宋" w:hint="eastAsia"/>
          <w:sz w:val="30"/>
          <w:szCs w:val="30"/>
        </w:rPr>
        <w:t xml:space="preserve"> </w:t>
      </w:r>
      <w:r w:rsidR="00F0549D" w:rsidRPr="00173E66">
        <w:rPr>
          <w:rFonts w:ascii="仿宋" w:eastAsia="仿宋" w:hAnsi="仿宋" w:hint="eastAsia"/>
          <w:sz w:val="30"/>
          <w:szCs w:val="30"/>
        </w:rPr>
        <w:t xml:space="preserve"> </w:t>
      </w:r>
    </w:p>
    <w:p w:rsidR="00DB418C" w:rsidRPr="00173E66" w:rsidRDefault="00D7055F" w:rsidP="002A4BA0">
      <w:pPr>
        <w:pStyle w:val="a5"/>
        <w:tabs>
          <w:tab w:val="left" w:pos="3420"/>
          <w:tab w:val="center" w:pos="4153"/>
        </w:tabs>
        <w:contextualSpacing/>
        <w:rPr>
          <w:rFonts w:ascii="仿宋" w:eastAsia="仿宋" w:hAnsi="仿宋"/>
          <w:sz w:val="30"/>
          <w:szCs w:val="30"/>
        </w:rPr>
      </w:pPr>
      <w:r w:rsidRPr="00173E66">
        <w:rPr>
          <w:rFonts w:ascii="仿宋" w:eastAsia="仿宋" w:hAnsi="仿宋"/>
          <w:noProof/>
          <w:sz w:val="30"/>
          <w:szCs w:val="30"/>
        </w:rPr>
        <mc:AlternateContent>
          <mc:Choice Requires="wps">
            <w:drawing>
              <wp:anchor distT="0" distB="0" distL="114300" distR="114300" simplePos="0" relativeHeight="251672576" behindDoc="0" locked="0" layoutInCell="1" allowOverlap="1" wp14:anchorId="66972168" wp14:editId="4EE9759C">
                <wp:simplePos x="0" y="0"/>
                <wp:positionH relativeFrom="column">
                  <wp:posOffset>1863090</wp:posOffset>
                </wp:positionH>
                <wp:positionV relativeFrom="paragraph">
                  <wp:posOffset>207645</wp:posOffset>
                </wp:positionV>
                <wp:extent cx="251460" cy="0"/>
                <wp:effectExtent l="0" t="76200" r="15240" b="114300"/>
                <wp:wrapNone/>
                <wp:docPr id="10" name="直接箭头连接符 10"/>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146.7pt;margin-top:16.35pt;width:19.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" strokecolor="black [3213]">
                <v:stroke endarrow="open"/>
              </v:shape>
            </w:pict>
          </mc:Fallback>
        </mc:AlternateContent>
      </w:r>
      <w:r w:rsidRPr="00173E66">
        <w:rPr>
          <w:rFonts w:ascii="仿宋" w:eastAsia="仿宋" w:hAnsi="仿宋"/>
          <w:noProof/>
          <w:sz w:val="30"/>
          <w:szCs w:val="30"/>
        </w:rPr>
        <mc:AlternateContent>
          <mc:Choice Requires="wps">
            <w:drawing>
              <wp:anchor distT="0" distB="0" distL="114300" distR="114300" simplePos="0" relativeHeight="251668480" behindDoc="0" locked="0" layoutInCell="1" allowOverlap="1" wp14:anchorId="6D51D1E9" wp14:editId="76EEDB97">
                <wp:simplePos x="0" y="0"/>
                <wp:positionH relativeFrom="column">
                  <wp:posOffset>777240</wp:posOffset>
                </wp:positionH>
                <wp:positionV relativeFrom="paragraph">
                  <wp:posOffset>207645</wp:posOffset>
                </wp:positionV>
                <wp:extent cx="251460" cy="0"/>
                <wp:effectExtent l="0" t="76200" r="15240" b="114300"/>
                <wp:wrapNone/>
                <wp:docPr id="8" name="直接箭头连接符 8"/>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 o:spid="_x0000_s1026" type="#_x0000_t32" style="position:absolute;left:0;text-align:left;margin-left:61.2pt;margin-top:16.35pt;width:19.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" strokecolor="black [3213]">
                <v:stroke endarrow="open"/>
              </v:shape>
            </w:pict>
          </mc:Fallback>
        </mc:AlternateContent>
      </w:r>
      <w:r w:rsidR="00F0549D" w:rsidRPr="00173E66">
        <w:rPr>
          <w:rFonts w:ascii="仿宋" w:eastAsia="仿宋" w:hAnsi="仿宋" w:hint="eastAsia"/>
          <w:sz w:val="30"/>
          <w:szCs w:val="30"/>
        </w:rPr>
        <w:t>协会受理</w:t>
      </w:r>
      <w:r w:rsidR="00C024CD">
        <w:rPr>
          <w:rFonts w:ascii="仿宋" w:eastAsia="仿宋" w:hAnsi="仿宋" w:hint="eastAsia"/>
          <w:sz w:val="30"/>
          <w:szCs w:val="30"/>
        </w:rPr>
        <w:t xml:space="preserve">   </w:t>
      </w:r>
      <w:r w:rsidRPr="00173E66">
        <w:rPr>
          <w:rFonts w:ascii="仿宋" w:eastAsia="仿宋" w:hAnsi="仿宋" w:hint="eastAsia"/>
          <w:sz w:val="30"/>
          <w:szCs w:val="30"/>
        </w:rPr>
        <w:t>外部公示</w:t>
      </w:r>
      <w:r w:rsidRPr="00173E66">
        <w:rPr>
          <w:rFonts w:ascii="仿宋" w:eastAsia="仿宋" w:hAnsi="仿宋"/>
          <w:sz w:val="30"/>
          <w:szCs w:val="30"/>
        </w:rPr>
        <w:tab/>
      </w:r>
      <w:r w:rsidRPr="00173E66">
        <w:rPr>
          <w:rFonts w:ascii="仿宋" w:eastAsia="仿宋" w:hAnsi="仿宋" w:hint="eastAsia"/>
          <w:sz w:val="30"/>
          <w:szCs w:val="30"/>
        </w:rPr>
        <w:t>取得证书</w:t>
      </w:r>
    </w:p>
    <w:p w:rsidR="00D068C2" w:rsidRPr="00173E66" w:rsidRDefault="007527F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（2</w:t>
      </w:r>
      <w:r w:rsidR="00135D60" w:rsidRPr="00173E66">
        <w:rPr>
          <w:rFonts w:ascii="仿宋" w:eastAsia="仿宋" w:hAnsi="仿宋" w:hint="eastAsia"/>
          <w:sz w:val="30"/>
          <w:szCs w:val="30"/>
        </w:rPr>
        <w:t>）</w:t>
      </w:r>
      <w:r w:rsidR="00B144E5" w:rsidRPr="00173E66">
        <w:rPr>
          <w:rFonts w:ascii="仿宋" w:eastAsia="仿宋" w:hAnsi="仿宋" w:hint="eastAsia"/>
          <w:sz w:val="30"/>
          <w:szCs w:val="30"/>
        </w:rPr>
        <w:t>鉴于</w:t>
      </w:r>
      <w:r w:rsidR="00D7055F" w:rsidRPr="00173E66">
        <w:rPr>
          <w:rFonts w:ascii="仿宋" w:eastAsia="仿宋" w:hAnsi="仿宋" w:hint="eastAsia"/>
          <w:sz w:val="30"/>
          <w:szCs w:val="30"/>
        </w:rPr>
        <w:t>银行机构从业人员较多</w:t>
      </w:r>
      <w:r w:rsidR="00B144E5" w:rsidRPr="00173E66">
        <w:rPr>
          <w:rFonts w:ascii="仿宋" w:eastAsia="仿宋" w:hAnsi="仿宋" w:hint="eastAsia"/>
          <w:sz w:val="30"/>
          <w:szCs w:val="30"/>
        </w:rPr>
        <w:t>，</w:t>
      </w:r>
      <w:r w:rsidR="00D7055F" w:rsidRPr="00173E66">
        <w:rPr>
          <w:rFonts w:ascii="仿宋" w:eastAsia="仿宋" w:hAnsi="仿宋" w:hint="eastAsia"/>
          <w:sz w:val="30"/>
          <w:szCs w:val="30"/>
        </w:rPr>
        <w:t>依据银行人员管理架构，</w:t>
      </w:r>
      <w:r w:rsidR="00E509B2" w:rsidRPr="00173E66">
        <w:rPr>
          <w:rFonts w:ascii="仿宋" w:eastAsia="仿宋" w:hAnsi="仿宋" w:hint="eastAsia"/>
          <w:sz w:val="30"/>
          <w:szCs w:val="30"/>
        </w:rPr>
        <w:t>暂</w:t>
      </w:r>
      <w:r w:rsidR="00D7055F" w:rsidRPr="00173E66">
        <w:rPr>
          <w:rFonts w:ascii="仿宋" w:eastAsia="仿宋" w:hAnsi="仿宋" w:hint="eastAsia"/>
          <w:sz w:val="30"/>
          <w:szCs w:val="30"/>
        </w:rPr>
        <w:t>设置四级系统管理员</w:t>
      </w:r>
      <w:r w:rsidR="00B144E5" w:rsidRPr="00173E66">
        <w:rPr>
          <w:rFonts w:ascii="仿宋" w:eastAsia="仿宋" w:hAnsi="仿宋" w:hint="eastAsia"/>
          <w:sz w:val="30"/>
          <w:szCs w:val="30"/>
        </w:rPr>
        <w:t>，</w:t>
      </w:r>
      <w:r w:rsidR="00D7055F" w:rsidRPr="00173E66">
        <w:rPr>
          <w:rFonts w:ascii="仿宋" w:eastAsia="仿宋" w:hAnsi="仿宋" w:hint="eastAsia"/>
          <w:sz w:val="30"/>
          <w:szCs w:val="30"/>
        </w:rPr>
        <w:t>由总行申请</w:t>
      </w:r>
      <w:r w:rsidR="008A36A8" w:rsidRPr="00173E66">
        <w:rPr>
          <w:rFonts w:ascii="仿宋" w:eastAsia="仿宋" w:hAnsi="仿宋" w:hint="eastAsia"/>
          <w:sz w:val="30"/>
          <w:szCs w:val="30"/>
        </w:rPr>
        <w:t>会员</w:t>
      </w:r>
      <w:r w:rsidR="00D7055F" w:rsidRPr="00173E66">
        <w:rPr>
          <w:rFonts w:ascii="仿宋" w:eastAsia="仿宋" w:hAnsi="仿宋" w:hint="eastAsia"/>
          <w:sz w:val="30"/>
          <w:szCs w:val="30"/>
        </w:rPr>
        <w:t>账户，分配给相关业务部门或下级分行，</w:t>
      </w:r>
      <w:r w:rsidR="00135D60" w:rsidRPr="00173E66">
        <w:rPr>
          <w:rFonts w:ascii="仿宋" w:eastAsia="仿宋" w:hAnsi="仿宋" w:hint="eastAsia"/>
          <w:sz w:val="30"/>
          <w:szCs w:val="30"/>
        </w:rPr>
        <w:t>分行再分配账号给支行，</w:t>
      </w:r>
      <w:r w:rsidR="008A36A8" w:rsidRPr="00173E66">
        <w:rPr>
          <w:rFonts w:ascii="仿宋" w:eastAsia="仿宋" w:hAnsi="仿宋" w:hint="eastAsia"/>
          <w:sz w:val="30"/>
          <w:szCs w:val="30"/>
        </w:rPr>
        <w:t>相关业务部门或支行分配账号给个人，</w:t>
      </w:r>
      <w:r w:rsidR="00E547B3" w:rsidRPr="00173E66">
        <w:rPr>
          <w:rFonts w:ascii="仿宋" w:eastAsia="仿宋" w:hAnsi="仿宋" w:hint="eastAsia"/>
          <w:sz w:val="30"/>
          <w:szCs w:val="30"/>
        </w:rPr>
        <w:t>由</w:t>
      </w:r>
      <w:r w:rsidR="008A36A8" w:rsidRPr="00173E66">
        <w:rPr>
          <w:rFonts w:ascii="仿宋" w:eastAsia="仿宋" w:hAnsi="仿宋" w:hint="eastAsia"/>
          <w:sz w:val="30"/>
          <w:szCs w:val="30"/>
        </w:rPr>
        <w:t>个人提交申请。</w:t>
      </w:r>
      <w:r w:rsidR="00646056" w:rsidRPr="00173E66">
        <w:rPr>
          <w:rFonts w:ascii="仿宋" w:eastAsia="仿宋" w:hAnsi="仿宋" w:hint="eastAsia"/>
          <w:sz w:val="30"/>
          <w:szCs w:val="30"/>
        </w:rPr>
        <w:t>（</w:t>
      </w:r>
      <w:r w:rsidR="00E509B2" w:rsidRPr="00173E66">
        <w:rPr>
          <w:rFonts w:ascii="仿宋" w:eastAsia="仿宋" w:hAnsi="仿宋" w:hint="eastAsia"/>
          <w:sz w:val="30"/>
          <w:szCs w:val="30"/>
        </w:rPr>
        <w:t>具</w:t>
      </w:r>
      <w:r w:rsidR="008A36A8" w:rsidRPr="00173E66">
        <w:rPr>
          <w:rFonts w:ascii="仿宋" w:eastAsia="仿宋" w:hAnsi="仿宋" w:hint="eastAsia"/>
          <w:sz w:val="30"/>
          <w:szCs w:val="30"/>
        </w:rPr>
        <w:t>体注册流程详见从业人员管理相关通知</w:t>
      </w:r>
      <w:r w:rsidR="00646056" w:rsidRPr="00173E66">
        <w:rPr>
          <w:rFonts w:ascii="仿宋" w:eastAsia="仿宋" w:hAnsi="仿宋" w:hint="eastAsia"/>
          <w:sz w:val="30"/>
          <w:szCs w:val="30"/>
        </w:rPr>
        <w:t>）</w:t>
      </w:r>
    </w:p>
    <w:p w:rsidR="00FD22F3" w:rsidRPr="00173E66" w:rsidRDefault="00D56BA1"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lastRenderedPageBreak/>
        <w:t>12</w:t>
      </w:r>
      <w:r w:rsidR="00FD22F3" w:rsidRPr="00173E66">
        <w:rPr>
          <w:rFonts w:ascii="黑体" w:eastAsia="黑体" w:hAnsi="黑体" w:hint="eastAsia"/>
          <w:sz w:val="30"/>
          <w:szCs w:val="30"/>
        </w:rPr>
        <w:t>、是否会考虑设置针对少数民族地区（例如新疆）从业人员考试的非汉语试题？</w:t>
      </w:r>
      <w:r w:rsidR="00FD22F3" w:rsidRPr="00173E66">
        <w:rPr>
          <w:rFonts w:ascii="仿宋" w:eastAsia="仿宋" w:hAnsi="仿宋" w:hint="eastAsia"/>
          <w:b/>
          <w:sz w:val="30"/>
          <w:szCs w:val="30"/>
        </w:rPr>
        <w:t xml:space="preserve"> </w:t>
      </w:r>
    </w:p>
    <w:p w:rsidR="00FD22F3" w:rsidRPr="00173E66" w:rsidRDefault="00FD22F3" w:rsidP="00FD22F3">
      <w:pPr>
        <w:pStyle w:val="a5"/>
        <w:ind w:firstLine="555"/>
        <w:contextualSpacing/>
        <w:rPr>
          <w:rFonts w:ascii="仿宋" w:eastAsia="仿宋" w:hAnsi="仿宋"/>
          <w:sz w:val="30"/>
          <w:szCs w:val="30"/>
        </w:rPr>
      </w:pPr>
      <w:r w:rsidRPr="00173E66">
        <w:rPr>
          <w:rFonts w:ascii="仿宋" w:eastAsia="仿宋" w:hAnsi="仿宋" w:hint="eastAsia"/>
          <w:sz w:val="30"/>
          <w:szCs w:val="30"/>
        </w:rPr>
        <w:t>目前考试暂未设置针对少数民族地区从业人员的非汉语试题，今后基金业协会将根据考生需求，酌情调整考试语言设置。</w:t>
      </w:r>
    </w:p>
    <w:p w:rsidR="00AA3F0C" w:rsidRPr="00173E66" w:rsidRDefault="00881441"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t>1</w:t>
      </w:r>
      <w:r w:rsidR="00D56BA1" w:rsidRPr="00173E66">
        <w:rPr>
          <w:rFonts w:ascii="黑体" w:eastAsia="黑体" w:hAnsi="黑体" w:hint="eastAsia"/>
          <w:sz w:val="30"/>
          <w:szCs w:val="30"/>
        </w:rPr>
        <w:t>3</w:t>
      </w:r>
      <w:r w:rsidR="00AA3F0C" w:rsidRPr="00173E66">
        <w:rPr>
          <w:rFonts w:ascii="黑体" w:eastAsia="黑体" w:hAnsi="黑体" w:hint="eastAsia"/>
          <w:sz w:val="30"/>
          <w:szCs w:val="30"/>
        </w:rPr>
        <w:t>、如何查询银行作为销售机构的联席会员代码</w:t>
      </w:r>
      <w:r w:rsidR="00E41CBC" w:rsidRPr="00E41CBC">
        <w:rPr>
          <w:rFonts w:ascii="黑体" w:eastAsia="黑体" w:hAnsi="黑体" w:hint="eastAsia"/>
          <w:sz w:val="30"/>
          <w:szCs w:val="30"/>
        </w:rPr>
        <w:t>及入会流程咨询</w:t>
      </w:r>
      <w:r w:rsidR="00AA3F0C" w:rsidRPr="00173E66">
        <w:rPr>
          <w:rFonts w:ascii="黑体" w:eastAsia="黑体" w:hAnsi="黑体" w:hint="eastAsia"/>
          <w:sz w:val="30"/>
          <w:szCs w:val="30"/>
        </w:rPr>
        <w:t>？</w:t>
      </w:r>
      <w:r w:rsidR="00AA3F0C" w:rsidRPr="00173E66">
        <w:rPr>
          <w:rFonts w:ascii="仿宋" w:eastAsia="仿宋" w:hAnsi="仿宋" w:hint="eastAsia"/>
          <w:b/>
          <w:sz w:val="30"/>
          <w:szCs w:val="30"/>
        </w:rPr>
        <w:t xml:space="preserve"> </w:t>
      </w:r>
    </w:p>
    <w:p w:rsidR="00AA3F0C" w:rsidRPr="00173E66" w:rsidRDefault="00AA3F0C" w:rsidP="00D21219">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查询联席会员代码</w:t>
      </w:r>
      <w:r w:rsidR="00E41CBC">
        <w:rPr>
          <w:rFonts w:ascii="仿宋" w:eastAsia="仿宋" w:hAnsi="仿宋" w:hint="eastAsia"/>
          <w:sz w:val="30"/>
          <w:szCs w:val="30"/>
        </w:rPr>
        <w:t>及入会流程咨询</w:t>
      </w:r>
      <w:r w:rsidRPr="00173E66">
        <w:rPr>
          <w:rFonts w:ascii="仿宋" w:eastAsia="仿宋" w:hAnsi="仿宋" w:hint="eastAsia"/>
          <w:sz w:val="30"/>
          <w:szCs w:val="30"/>
        </w:rPr>
        <w:t>可拨打电话：</w:t>
      </w:r>
      <w:r w:rsidR="00D21219">
        <w:rPr>
          <w:rFonts w:ascii="仿宋" w:eastAsia="仿宋" w:hAnsi="仿宋" w:hint="eastAsia"/>
          <w:sz w:val="30"/>
          <w:szCs w:val="30"/>
        </w:rPr>
        <w:t>0</w:t>
      </w:r>
      <w:r w:rsidRPr="00173E66">
        <w:rPr>
          <w:rFonts w:ascii="仿宋" w:eastAsia="仿宋" w:hAnsi="仿宋" w:hint="eastAsia"/>
          <w:sz w:val="30"/>
          <w:szCs w:val="30"/>
        </w:rPr>
        <w:t>10-66578208</w:t>
      </w:r>
      <w:r w:rsidR="00D21219">
        <w:rPr>
          <w:rFonts w:ascii="仿宋" w:eastAsia="仿宋" w:hAnsi="仿宋" w:hint="eastAsia"/>
          <w:sz w:val="30"/>
          <w:szCs w:val="30"/>
        </w:rPr>
        <w:t>。</w:t>
      </w:r>
    </w:p>
    <w:p w:rsidR="001B5104" w:rsidRPr="00173E66" w:rsidRDefault="001B5104"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1</w:t>
      </w:r>
      <w:r w:rsidR="00D56BA1" w:rsidRPr="00173E66">
        <w:rPr>
          <w:rFonts w:ascii="黑体" w:eastAsia="黑体" w:hAnsi="黑体" w:hint="eastAsia"/>
          <w:sz w:val="30"/>
          <w:szCs w:val="30"/>
        </w:rPr>
        <w:t>4</w:t>
      </w:r>
      <w:r w:rsidRPr="00173E66">
        <w:rPr>
          <w:rFonts w:ascii="黑体" w:eastAsia="黑体" w:hAnsi="黑体" w:hint="eastAsia"/>
          <w:sz w:val="30"/>
          <w:szCs w:val="30"/>
        </w:rPr>
        <w:t>、由于基金从业资格考试刚刚实施，基金业协会能否指定专人解答各代销机构关于考试、资格注册、培训年检的疑问？</w:t>
      </w:r>
    </w:p>
    <w:p w:rsidR="00BE602F" w:rsidRDefault="00AC5F04" w:rsidP="00BE602F">
      <w:pPr>
        <w:pStyle w:val="a5"/>
        <w:ind w:firstLineChars="200" w:firstLine="600"/>
        <w:contextualSpacing/>
        <w:rPr>
          <w:rFonts w:ascii="仿宋" w:eastAsia="仿宋" w:hAnsi="仿宋"/>
          <w:sz w:val="30"/>
          <w:szCs w:val="30"/>
        </w:rPr>
      </w:pPr>
      <w:r>
        <w:rPr>
          <w:rFonts w:ascii="仿宋" w:eastAsia="仿宋" w:hAnsi="仿宋" w:hint="eastAsia"/>
          <w:sz w:val="30"/>
          <w:szCs w:val="30"/>
        </w:rPr>
        <w:t>有关基金从业人员资格管理</w:t>
      </w:r>
      <w:r w:rsidR="00BE602F">
        <w:rPr>
          <w:rFonts w:ascii="仿宋" w:eastAsia="仿宋" w:hAnsi="仿宋" w:hint="eastAsia"/>
          <w:sz w:val="30"/>
          <w:szCs w:val="30"/>
        </w:rPr>
        <w:t>问题</w:t>
      </w:r>
      <w:r>
        <w:rPr>
          <w:rFonts w:ascii="仿宋" w:eastAsia="仿宋" w:hAnsi="仿宋" w:hint="eastAsia"/>
          <w:sz w:val="30"/>
          <w:szCs w:val="30"/>
        </w:rPr>
        <w:t>解答，</w:t>
      </w:r>
      <w:r w:rsidR="00BE602F">
        <w:rPr>
          <w:rFonts w:ascii="仿宋" w:eastAsia="仿宋" w:hAnsi="仿宋" w:hint="eastAsia"/>
          <w:sz w:val="30"/>
          <w:szCs w:val="30"/>
        </w:rPr>
        <w:t>联系方式如下</w:t>
      </w:r>
      <w:r w:rsidR="001B5104" w:rsidRPr="00173E66">
        <w:rPr>
          <w:rFonts w:ascii="仿宋" w:eastAsia="仿宋" w:hAnsi="仿宋" w:hint="eastAsia"/>
          <w:sz w:val="30"/>
          <w:szCs w:val="30"/>
        </w:rPr>
        <w:t>：</w:t>
      </w:r>
    </w:p>
    <w:p w:rsidR="00BE602F" w:rsidRDefault="00BE602F" w:rsidP="00BE602F">
      <w:pPr>
        <w:pStyle w:val="a5"/>
        <w:ind w:firstLineChars="200" w:firstLine="640"/>
        <w:contextualSpacing/>
        <w:rPr>
          <w:rFonts w:ascii="仿宋" w:eastAsia="仿宋" w:hAnsi="仿宋"/>
          <w:sz w:val="32"/>
          <w:szCs w:val="32"/>
        </w:rPr>
      </w:pPr>
      <w:proofErr w:type="gramStart"/>
      <w:r>
        <w:rPr>
          <w:rFonts w:ascii="仿宋" w:eastAsia="仿宋" w:hAnsi="仿宋" w:hint="eastAsia"/>
          <w:sz w:val="32"/>
          <w:szCs w:val="32"/>
        </w:rPr>
        <w:t>王盛滨</w:t>
      </w:r>
      <w:proofErr w:type="gramEnd"/>
      <w:r>
        <w:rPr>
          <w:rFonts w:ascii="仿宋" w:eastAsia="仿宋" w:hAnsi="仿宋" w:hint="eastAsia"/>
          <w:sz w:val="32"/>
          <w:szCs w:val="32"/>
        </w:rPr>
        <w:t>,010-66578282,wangshb@amac.org.cn</w:t>
      </w:r>
    </w:p>
    <w:p w:rsidR="00BE602F" w:rsidRPr="003768D2" w:rsidRDefault="00BE602F" w:rsidP="00BE602F">
      <w:pPr>
        <w:pStyle w:val="a5"/>
        <w:ind w:firstLineChars="200" w:firstLine="640"/>
        <w:contextualSpacing/>
        <w:rPr>
          <w:rFonts w:ascii="仿宋" w:eastAsia="仿宋" w:hAnsi="仿宋"/>
          <w:sz w:val="32"/>
          <w:szCs w:val="32"/>
        </w:rPr>
      </w:pPr>
      <w:r>
        <w:rPr>
          <w:rFonts w:ascii="仿宋" w:eastAsia="仿宋" w:hAnsi="仿宋" w:hint="eastAsia"/>
          <w:sz w:val="32"/>
          <w:szCs w:val="32"/>
        </w:rPr>
        <w:t>杨宝磊,010-66578352,yangbl@amac.org.cn</w:t>
      </w:r>
    </w:p>
    <w:p w:rsidR="001A44DF" w:rsidRPr="00173E66" w:rsidRDefault="001A44DF" w:rsidP="00BE602F">
      <w:pPr>
        <w:pStyle w:val="a5"/>
        <w:ind w:firstLineChars="200" w:firstLine="600"/>
        <w:contextualSpacing/>
        <w:rPr>
          <w:rFonts w:ascii="仿宋" w:eastAsia="仿宋" w:hAnsi="仿宋"/>
          <w:sz w:val="30"/>
          <w:szCs w:val="30"/>
        </w:rPr>
      </w:pPr>
    </w:p>
    <w:sectPr w:rsidR="001A44DF" w:rsidRPr="00173E6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57" w:rsidRDefault="00EC5757" w:rsidP="00995274">
      <w:r>
        <w:separator/>
      </w:r>
    </w:p>
  </w:endnote>
  <w:endnote w:type="continuationSeparator" w:id="0">
    <w:p w:rsidR="00EC5757" w:rsidRDefault="00EC5757" w:rsidP="0099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50527"/>
      <w:docPartObj>
        <w:docPartGallery w:val="Page Numbers (Bottom of Page)"/>
        <w:docPartUnique/>
      </w:docPartObj>
    </w:sdtPr>
    <w:sdtEndPr/>
    <w:sdtContent>
      <w:p w:rsidR="00B1503D" w:rsidRDefault="00B1503D">
        <w:pPr>
          <w:pStyle w:val="a4"/>
          <w:jc w:val="center"/>
        </w:pPr>
        <w:r>
          <w:fldChar w:fldCharType="begin"/>
        </w:r>
        <w:r>
          <w:instrText>PAGE   \* MERGEFORMAT</w:instrText>
        </w:r>
        <w:r>
          <w:fldChar w:fldCharType="separate"/>
        </w:r>
        <w:r w:rsidR="00B53C79" w:rsidRPr="00B53C79">
          <w:rPr>
            <w:noProof/>
            <w:lang w:val="zh-CN"/>
          </w:rPr>
          <w:t>5</w:t>
        </w:r>
        <w:r>
          <w:fldChar w:fldCharType="end"/>
        </w:r>
      </w:p>
    </w:sdtContent>
  </w:sdt>
  <w:p w:rsidR="00B1503D" w:rsidRDefault="00B150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57" w:rsidRDefault="00EC5757" w:rsidP="00995274">
      <w:r>
        <w:separator/>
      </w:r>
    </w:p>
  </w:footnote>
  <w:footnote w:type="continuationSeparator" w:id="0">
    <w:p w:rsidR="00EC5757" w:rsidRDefault="00EC5757" w:rsidP="00995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29C5"/>
    <w:multiLevelType w:val="hybridMultilevel"/>
    <w:tmpl w:val="3F867894"/>
    <w:lvl w:ilvl="0" w:tplc="19CC1DBC">
      <w:start w:val="1"/>
      <w:numFmt w:val="decimal"/>
      <w:lvlText w:val="（%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2807971"/>
    <w:multiLevelType w:val="hybridMultilevel"/>
    <w:tmpl w:val="B1F2442E"/>
    <w:lvl w:ilvl="0" w:tplc="1AE637EC">
      <w:start w:val="1"/>
      <w:numFmt w:val="decimal"/>
      <w:lvlText w:val="（%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D4225D9"/>
    <w:multiLevelType w:val="hybridMultilevel"/>
    <w:tmpl w:val="50203F3A"/>
    <w:lvl w:ilvl="0" w:tplc="DFE27B22">
      <w:start w:val="1"/>
      <w:numFmt w:val="bullet"/>
      <w:lvlText w:val="•"/>
      <w:lvlJc w:val="left"/>
      <w:pPr>
        <w:tabs>
          <w:tab w:val="num" w:pos="720"/>
        </w:tabs>
        <w:ind w:left="720" w:hanging="360"/>
      </w:pPr>
      <w:rPr>
        <w:rFonts w:ascii="宋体" w:hAnsi="宋体" w:hint="default"/>
      </w:rPr>
    </w:lvl>
    <w:lvl w:ilvl="1" w:tplc="6302D980" w:tentative="1">
      <w:start w:val="1"/>
      <w:numFmt w:val="bullet"/>
      <w:lvlText w:val="•"/>
      <w:lvlJc w:val="left"/>
      <w:pPr>
        <w:tabs>
          <w:tab w:val="num" w:pos="1440"/>
        </w:tabs>
        <w:ind w:left="1440" w:hanging="360"/>
      </w:pPr>
      <w:rPr>
        <w:rFonts w:ascii="宋体" w:hAnsi="宋体" w:hint="default"/>
      </w:rPr>
    </w:lvl>
    <w:lvl w:ilvl="2" w:tplc="AC7A6322" w:tentative="1">
      <w:start w:val="1"/>
      <w:numFmt w:val="bullet"/>
      <w:lvlText w:val="•"/>
      <w:lvlJc w:val="left"/>
      <w:pPr>
        <w:tabs>
          <w:tab w:val="num" w:pos="2160"/>
        </w:tabs>
        <w:ind w:left="2160" w:hanging="360"/>
      </w:pPr>
      <w:rPr>
        <w:rFonts w:ascii="宋体" w:hAnsi="宋体" w:hint="default"/>
      </w:rPr>
    </w:lvl>
    <w:lvl w:ilvl="3" w:tplc="A33A9054" w:tentative="1">
      <w:start w:val="1"/>
      <w:numFmt w:val="bullet"/>
      <w:lvlText w:val="•"/>
      <w:lvlJc w:val="left"/>
      <w:pPr>
        <w:tabs>
          <w:tab w:val="num" w:pos="2880"/>
        </w:tabs>
        <w:ind w:left="2880" w:hanging="360"/>
      </w:pPr>
      <w:rPr>
        <w:rFonts w:ascii="宋体" w:hAnsi="宋体" w:hint="default"/>
      </w:rPr>
    </w:lvl>
    <w:lvl w:ilvl="4" w:tplc="6D04A6BE" w:tentative="1">
      <w:start w:val="1"/>
      <w:numFmt w:val="bullet"/>
      <w:lvlText w:val="•"/>
      <w:lvlJc w:val="left"/>
      <w:pPr>
        <w:tabs>
          <w:tab w:val="num" w:pos="3600"/>
        </w:tabs>
        <w:ind w:left="3600" w:hanging="360"/>
      </w:pPr>
      <w:rPr>
        <w:rFonts w:ascii="宋体" w:hAnsi="宋体" w:hint="default"/>
      </w:rPr>
    </w:lvl>
    <w:lvl w:ilvl="5" w:tplc="3FF2B812" w:tentative="1">
      <w:start w:val="1"/>
      <w:numFmt w:val="bullet"/>
      <w:lvlText w:val="•"/>
      <w:lvlJc w:val="left"/>
      <w:pPr>
        <w:tabs>
          <w:tab w:val="num" w:pos="4320"/>
        </w:tabs>
        <w:ind w:left="4320" w:hanging="360"/>
      </w:pPr>
      <w:rPr>
        <w:rFonts w:ascii="宋体" w:hAnsi="宋体" w:hint="default"/>
      </w:rPr>
    </w:lvl>
    <w:lvl w:ilvl="6" w:tplc="FA4A9900" w:tentative="1">
      <w:start w:val="1"/>
      <w:numFmt w:val="bullet"/>
      <w:lvlText w:val="•"/>
      <w:lvlJc w:val="left"/>
      <w:pPr>
        <w:tabs>
          <w:tab w:val="num" w:pos="5040"/>
        </w:tabs>
        <w:ind w:left="5040" w:hanging="360"/>
      </w:pPr>
      <w:rPr>
        <w:rFonts w:ascii="宋体" w:hAnsi="宋体" w:hint="default"/>
      </w:rPr>
    </w:lvl>
    <w:lvl w:ilvl="7" w:tplc="214CC324" w:tentative="1">
      <w:start w:val="1"/>
      <w:numFmt w:val="bullet"/>
      <w:lvlText w:val="•"/>
      <w:lvlJc w:val="left"/>
      <w:pPr>
        <w:tabs>
          <w:tab w:val="num" w:pos="5760"/>
        </w:tabs>
        <w:ind w:left="5760" w:hanging="360"/>
      </w:pPr>
      <w:rPr>
        <w:rFonts w:ascii="宋体" w:hAnsi="宋体" w:hint="default"/>
      </w:rPr>
    </w:lvl>
    <w:lvl w:ilvl="8" w:tplc="F5207A2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2D"/>
    <w:rsid w:val="00002874"/>
    <w:rsid w:val="000148D4"/>
    <w:rsid w:val="00036292"/>
    <w:rsid w:val="00041279"/>
    <w:rsid w:val="00041D53"/>
    <w:rsid w:val="000453A9"/>
    <w:rsid w:val="00045B7D"/>
    <w:rsid w:val="00046B8F"/>
    <w:rsid w:val="0005288F"/>
    <w:rsid w:val="00062089"/>
    <w:rsid w:val="00063354"/>
    <w:rsid w:val="00066DA7"/>
    <w:rsid w:val="00072880"/>
    <w:rsid w:val="000825E2"/>
    <w:rsid w:val="000A7E5E"/>
    <w:rsid w:val="000B3FA4"/>
    <w:rsid w:val="000C3BC0"/>
    <w:rsid w:val="000D3FDC"/>
    <w:rsid w:val="000E4429"/>
    <w:rsid w:val="000F6126"/>
    <w:rsid w:val="001066A3"/>
    <w:rsid w:val="00121B87"/>
    <w:rsid w:val="0012690B"/>
    <w:rsid w:val="00126BE3"/>
    <w:rsid w:val="0013433F"/>
    <w:rsid w:val="00135D60"/>
    <w:rsid w:val="001373E3"/>
    <w:rsid w:val="00140D74"/>
    <w:rsid w:val="00143DC3"/>
    <w:rsid w:val="0015765C"/>
    <w:rsid w:val="00167C5A"/>
    <w:rsid w:val="00173E66"/>
    <w:rsid w:val="00173F91"/>
    <w:rsid w:val="00174942"/>
    <w:rsid w:val="0019260D"/>
    <w:rsid w:val="001A1FBD"/>
    <w:rsid w:val="001A2B21"/>
    <w:rsid w:val="001A44DF"/>
    <w:rsid w:val="001A4AF1"/>
    <w:rsid w:val="001A4F9D"/>
    <w:rsid w:val="001A5A06"/>
    <w:rsid w:val="001A63C9"/>
    <w:rsid w:val="001B5104"/>
    <w:rsid w:val="001C26B0"/>
    <w:rsid w:val="001C3761"/>
    <w:rsid w:val="001D4130"/>
    <w:rsid w:val="001E70D9"/>
    <w:rsid w:val="001F5C19"/>
    <w:rsid w:val="00202DE3"/>
    <w:rsid w:val="002316C8"/>
    <w:rsid w:val="00241FE2"/>
    <w:rsid w:val="0024587A"/>
    <w:rsid w:val="002509E8"/>
    <w:rsid w:val="00255994"/>
    <w:rsid w:val="00273295"/>
    <w:rsid w:val="00274AE5"/>
    <w:rsid w:val="002844D0"/>
    <w:rsid w:val="0029086E"/>
    <w:rsid w:val="002A3FFD"/>
    <w:rsid w:val="002A4BA0"/>
    <w:rsid w:val="002A4D4C"/>
    <w:rsid w:val="002B52CA"/>
    <w:rsid w:val="002B53D5"/>
    <w:rsid w:val="002D165F"/>
    <w:rsid w:val="002E708D"/>
    <w:rsid w:val="00326E42"/>
    <w:rsid w:val="00327151"/>
    <w:rsid w:val="0033545A"/>
    <w:rsid w:val="003377A1"/>
    <w:rsid w:val="00341EBC"/>
    <w:rsid w:val="003440FA"/>
    <w:rsid w:val="00356ADA"/>
    <w:rsid w:val="00376F86"/>
    <w:rsid w:val="003A289C"/>
    <w:rsid w:val="003A4603"/>
    <w:rsid w:val="003A6E0D"/>
    <w:rsid w:val="003B0417"/>
    <w:rsid w:val="003B30A0"/>
    <w:rsid w:val="003B7432"/>
    <w:rsid w:val="003C1FC0"/>
    <w:rsid w:val="003E3195"/>
    <w:rsid w:val="003F09A9"/>
    <w:rsid w:val="004009D7"/>
    <w:rsid w:val="00425B75"/>
    <w:rsid w:val="00434E24"/>
    <w:rsid w:val="0045366C"/>
    <w:rsid w:val="00456A23"/>
    <w:rsid w:val="004570F7"/>
    <w:rsid w:val="0046086B"/>
    <w:rsid w:val="004608CB"/>
    <w:rsid w:val="00465A61"/>
    <w:rsid w:val="00473DEB"/>
    <w:rsid w:val="0047423B"/>
    <w:rsid w:val="00475ECE"/>
    <w:rsid w:val="0048568D"/>
    <w:rsid w:val="00491A6B"/>
    <w:rsid w:val="004A37CA"/>
    <w:rsid w:val="004A72A2"/>
    <w:rsid w:val="004C2A6E"/>
    <w:rsid w:val="004D3234"/>
    <w:rsid w:val="004D57B0"/>
    <w:rsid w:val="004D78F2"/>
    <w:rsid w:val="004E654B"/>
    <w:rsid w:val="004F053B"/>
    <w:rsid w:val="004F5EC0"/>
    <w:rsid w:val="004F78F5"/>
    <w:rsid w:val="005011AD"/>
    <w:rsid w:val="00524A32"/>
    <w:rsid w:val="0052679F"/>
    <w:rsid w:val="005532AA"/>
    <w:rsid w:val="00553B19"/>
    <w:rsid w:val="00557F6D"/>
    <w:rsid w:val="0056610C"/>
    <w:rsid w:val="005702E1"/>
    <w:rsid w:val="0057065C"/>
    <w:rsid w:val="00570D48"/>
    <w:rsid w:val="00574062"/>
    <w:rsid w:val="00574246"/>
    <w:rsid w:val="0058316B"/>
    <w:rsid w:val="00586CF2"/>
    <w:rsid w:val="00590797"/>
    <w:rsid w:val="00590EB0"/>
    <w:rsid w:val="00591B45"/>
    <w:rsid w:val="005B6C06"/>
    <w:rsid w:val="005B7AD8"/>
    <w:rsid w:val="005C1800"/>
    <w:rsid w:val="005D2DE8"/>
    <w:rsid w:val="005E58DB"/>
    <w:rsid w:val="00602ADE"/>
    <w:rsid w:val="00604A07"/>
    <w:rsid w:val="0061580E"/>
    <w:rsid w:val="00621C9E"/>
    <w:rsid w:val="00624ED3"/>
    <w:rsid w:val="006302D2"/>
    <w:rsid w:val="00646056"/>
    <w:rsid w:val="00650EE5"/>
    <w:rsid w:val="006620A4"/>
    <w:rsid w:val="00662512"/>
    <w:rsid w:val="00666458"/>
    <w:rsid w:val="00677FDF"/>
    <w:rsid w:val="00693CBA"/>
    <w:rsid w:val="006B5DA5"/>
    <w:rsid w:val="006C6076"/>
    <w:rsid w:val="006D0C96"/>
    <w:rsid w:val="006D122E"/>
    <w:rsid w:val="006E0555"/>
    <w:rsid w:val="006F5949"/>
    <w:rsid w:val="00707043"/>
    <w:rsid w:val="00714127"/>
    <w:rsid w:val="00730CB3"/>
    <w:rsid w:val="0073793A"/>
    <w:rsid w:val="00743F7A"/>
    <w:rsid w:val="0075112B"/>
    <w:rsid w:val="007526CD"/>
    <w:rsid w:val="007527F5"/>
    <w:rsid w:val="007539DE"/>
    <w:rsid w:val="00761D05"/>
    <w:rsid w:val="00764809"/>
    <w:rsid w:val="00781E56"/>
    <w:rsid w:val="00784F58"/>
    <w:rsid w:val="00792BEE"/>
    <w:rsid w:val="00794C08"/>
    <w:rsid w:val="00794F40"/>
    <w:rsid w:val="007A0269"/>
    <w:rsid w:val="007A2E07"/>
    <w:rsid w:val="007A4CBB"/>
    <w:rsid w:val="007C4ABE"/>
    <w:rsid w:val="007C560D"/>
    <w:rsid w:val="007C7212"/>
    <w:rsid w:val="007E1122"/>
    <w:rsid w:val="007E60B1"/>
    <w:rsid w:val="007F4F26"/>
    <w:rsid w:val="007F5316"/>
    <w:rsid w:val="007F5F63"/>
    <w:rsid w:val="00832D4D"/>
    <w:rsid w:val="00840598"/>
    <w:rsid w:val="0084079C"/>
    <w:rsid w:val="008521C3"/>
    <w:rsid w:val="008543F1"/>
    <w:rsid w:val="008560C0"/>
    <w:rsid w:val="008633E9"/>
    <w:rsid w:val="008670CB"/>
    <w:rsid w:val="0088087D"/>
    <w:rsid w:val="00881441"/>
    <w:rsid w:val="00885FF1"/>
    <w:rsid w:val="00896B25"/>
    <w:rsid w:val="008A36A8"/>
    <w:rsid w:val="008A476B"/>
    <w:rsid w:val="008A7732"/>
    <w:rsid w:val="008B35F9"/>
    <w:rsid w:val="008B6064"/>
    <w:rsid w:val="008C688B"/>
    <w:rsid w:val="008C7258"/>
    <w:rsid w:val="008F3DBC"/>
    <w:rsid w:val="008F512D"/>
    <w:rsid w:val="009130D5"/>
    <w:rsid w:val="00915BB4"/>
    <w:rsid w:val="00921D12"/>
    <w:rsid w:val="009404EB"/>
    <w:rsid w:val="00947335"/>
    <w:rsid w:val="00955A58"/>
    <w:rsid w:val="00961567"/>
    <w:rsid w:val="00963738"/>
    <w:rsid w:val="0098377E"/>
    <w:rsid w:val="00991E59"/>
    <w:rsid w:val="00995274"/>
    <w:rsid w:val="009B7BBC"/>
    <w:rsid w:val="009E03A6"/>
    <w:rsid w:val="009E77B6"/>
    <w:rsid w:val="009F3354"/>
    <w:rsid w:val="009F4951"/>
    <w:rsid w:val="00A025A4"/>
    <w:rsid w:val="00A07B70"/>
    <w:rsid w:val="00A10FEA"/>
    <w:rsid w:val="00A13A17"/>
    <w:rsid w:val="00A14520"/>
    <w:rsid w:val="00A567F9"/>
    <w:rsid w:val="00A610CE"/>
    <w:rsid w:val="00A63B57"/>
    <w:rsid w:val="00A80230"/>
    <w:rsid w:val="00A828CE"/>
    <w:rsid w:val="00A90E44"/>
    <w:rsid w:val="00AA3F0C"/>
    <w:rsid w:val="00AB4CBB"/>
    <w:rsid w:val="00AC5F04"/>
    <w:rsid w:val="00B014E0"/>
    <w:rsid w:val="00B0192A"/>
    <w:rsid w:val="00B02561"/>
    <w:rsid w:val="00B144E5"/>
    <w:rsid w:val="00B1503D"/>
    <w:rsid w:val="00B21A9C"/>
    <w:rsid w:val="00B31A51"/>
    <w:rsid w:val="00B42493"/>
    <w:rsid w:val="00B53C79"/>
    <w:rsid w:val="00B76313"/>
    <w:rsid w:val="00B9190E"/>
    <w:rsid w:val="00BD452E"/>
    <w:rsid w:val="00BE602F"/>
    <w:rsid w:val="00C024CD"/>
    <w:rsid w:val="00C07731"/>
    <w:rsid w:val="00C11642"/>
    <w:rsid w:val="00C32549"/>
    <w:rsid w:val="00C343EF"/>
    <w:rsid w:val="00C436E1"/>
    <w:rsid w:val="00C4576C"/>
    <w:rsid w:val="00C4797C"/>
    <w:rsid w:val="00C47F63"/>
    <w:rsid w:val="00C7502B"/>
    <w:rsid w:val="00C81908"/>
    <w:rsid w:val="00C81F53"/>
    <w:rsid w:val="00C82C62"/>
    <w:rsid w:val="00C86B8F"/>
    <w:rsid w:val="00C935C0"/>
    <w:rsid w:val="00CA0CEF"/>
    <w:rsid w:val="00CA4A1B"/>
    <w:rsid w:val="00CA5E1B"/>
    <w:rsid w:val="00CB3FEE"/>
    <w:rsid w:val="00CC19E7"/>
    <w:rsid w:val="00CE45A8"/>
    <w:rsid w:val="00CE7195"/>
    <w:rsid w:val="00CE797E"/>
    <w:rsid w:val="00CF6301"/>
    <w:rsid w:val="00CF757C"/>
    <w:rsid w:val="00CF7C1C"/>
    <w:rsid w:val="00D068C2"/>
    <w:rsid w:val="00D1033D"/>
    <w:rsid w:val="00D10B38"/>
    <w:rsid w:val="00D13A78"/>
    <w:rsid w:val="00D21219"/>
    <w:rsid w:val="00D21987"/>
    <w:rsid w:val="00D23409"/>
    <w:rsid w:val="00D24D1F"/>
    <w:rsid w:val="00D31951"/>
    <w:rsid w:val="00D33A5C"/>
    <w:rsid w:val="00D36B19"/>
    <w:rsid w:val="00D42A6C"/>
    <w:rsid w:val="00D452BE"/>
    <w:rsid w:val="00D569F9"/>
    <w:rsid w:val="00D56BA1"/>
    <w:rsid w:val="00D7055F"/>
    <w:rsid w:val="00D872F0"/>
    <w:rsid w:val="00D87EA9"/>
    <w:rsid w:val="00DA2FBC"/>
    <w:rsid w:val="00DB2A63"/>
    <w:rsid w:val="00DB418C"/>
    <w:rsid w:val="00DF0665"/>
    <w:rsid w:val="00E07235"/>
    <w:rsid w:val="00E233B1"/>
    <w:rsid w:val="00E36D37"/>
    <w:rsid w:val="00E41CBC"/>
    <w:rsid w:val="00E42D48"/>
    <w:rsid w:val="00E509B2"/>
    <w:rsid w:val="00E53A06"/>
    <w:rsid w:val="00E547B3"/>
    <w:rsid w:val="00E54ACE"/>
    <w:rsid w:val="00E63CB5"/>
    <w:rsid w:val="00E73AD5"/>
    <w:rsid w:val="00E770FF"/>
    <w:rsid w:val="00E85BED"/>
    <w:rsid w:val="00E93463"/>
    <w:rsid w:val="00E939EC"/>
    <w:rsid w:val="00E97416"/>
    <w:rsid w:val="00EA25C4"/>
    <w:rsid w:val="00EA3B45"/>
    <w:rsid w:val="00EB2098"/>
    <w:rsid w:val="00EC5757"/>
    <w:rsid w:val="00EF1230"/>
    <w:rsid w:val="00EF2F61"/>
    <w:rsid w:val="00F0549D"/>
    <w:rsid w:val="00F11470"/>
    <w:rsid w:val="00F178F9"/>
    <w:rsid w:val="00F21EE1"/>
    <w:rsid w:val="00F2734E"/>
    <w:rsid w:val="00F33C8E"/>
    <w:rsid w:val="00F3598B"/>
    <w:rsid w:val="00F51E72"/>
    <w:rsid w:val="00F816D4"/>
    <w:rsid w:val="00F868BE"/>
    <w:rsid w:val="00F91F09"/>
    <w:rsid w:val="00F94376"/>
    <w:rsid w:val="00FB1B14"/>
    <w:rsid w:val="00FC5055"/>
    <w:rsid w:val="00FD22F3"/>
    <w:rsid w:val="00FE16CE"/>
    <w:rsid w:val="00FE3664"/>
    <w:rsid w:val="00FE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274"/>
    <w:rPr>
      <w:sz w:val="18"/>
      <w:szCs w:val="18"/>
    </w:rPr>
  </w:style>
  <w:style w:type="paragraph" w:styleId="a4">
    <w:name w:val="footer"/>
    <w:basedOn w:val="a"/>
    <w:link w:val="Char0"/>
    <w:uiPriority w:val="99"/>
    <w:unhideWhenUsed/>
    <w:rsid w:val="00995274"/>
    <w:pPr>
      <w:tabs>
        <w:tab w:val="center" w:pos="4153"/>
        <w:tab w:val="right" w:pos="8306"/>
      </w:tabs>
      <w:snapToGrid w:val="0"/>
      <w:jc w:val="left"/>
    </w:pPr>
    <w:rPr>
      <w:sz w:val="18"/>
      <w:szCs w:val="18"/>
    </w:rPr>
  </w:style>
  <w:style w:type="character" w:customStyle="1" w:styleId="Char0">
    <w:name w:val="页脚 Char"/>
    <w:basedOn w:val="a0"/>
    <w:link w:val="a4"/>
    <w:uiPriority w:val="99"/>
    <w:rsid w:val="00995274"/>
    <w:rPr>
      <w:sz w:val="18"/>
      <w:szCs w:val="18"/>
    </w:rPr>
  </w:style>
  <w:style w:type="paragraph" w:styleId="a5">
    <w:name w:val="Normal (Web)"/>
    <w:basedOn w:val="a"/>
    <w:uiPriority w:val="99"/>
    <w:unhideWhenUsed/>
    <w:rsid w:val="0099527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87EA9"/>
    <w:pPr>
      <w:ind w:firstLineChars="200" w:firstLine="420"/>
    </w:pPr>
  </w:style>
  <w:style w:type="character" w:styleId="a7">
    <w:name w:val="Hyperlink"/>
    <w:basedOn w:val="a0"/>
    <w:uiPriority w:val="99"/>
    <w:unhideWhenUsed/>
    <w:rsid w:val="002316C8"/>
    <w:rPr>
      <w:color w:val="0000FF" w:themeColor="hyperlink"/>
      <w:u w:val="single"/>
    </w:rPr>
  </w:style>
  <w:style w:type="paragraph" w:styleId="a8">
    <w:name w:val="Balloon Text"/>
    <w:basedOn w:val="a"/>
    <w:link w:val="Char1"/>
    <w:uiPriority w:val="99"/>
    <w:semiHidden/>
    <w:unhideWhenUsed/>
    <w:rsid w:val="000C3BC0"/>
    <w:rPr>
      <w:sz w:val="18"/>
      <w:szCs w:val="18"/>
    </w:rPr>
  </w:style>
  <w:style w:type="character" w:customStyle="1" w:styleId="Char1">
    <w:name w:val="批注框文本 Char"/>
    <w:basedOn w:val="a0"/>
    <w:link w:val="a8"/>
    <w:uiPriority w:val="99"/>
    <w:semiHidden/>
    <w:rsid w:val="000C3B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274"/>
    <w:rPr>
      <w:sz w:val="18"/>
      <w:szCs w:val="18"/>
    </w:rPr>
  </w:style>
  <w:style w:type="paragraph" w:styleId="a4">
    <w:name w:val="footer"/>
    <w:basedOn w:val="a"/>
    <w:link w:val="Char0"/>
    <w:uiPriority w:val="99"/>
    <w:unhideWhenUsed/>
    <w:rsid w:val="00995274"/>
    <w:pPr>
      <w:tabs>
        <w:tab w:val="center" w:pos="4153"/>
        <w:tab w:val="right" w:pos="8306"/>
      </w:tabs>
      <w:snapToGrid w:val="0"/>
      <w:jc w:val="left"/>
    </w:pPr>
    <w:rPr>
      <w:sz w:val="18"/>
      <w:szCs w:val="18"/>
    </w:rPr>
  </w:style>
  <w:style w:type="character" w:customStyle="1" w:styleId="Char0">
    <w:name w:val="页脚 Char"/>
    <w:basedOn w:val="a0"/>
    <w:link w:val="a4"/>
    <w:uiPriority w:val="99"/>
    <w:rsid w:val="00995274"/>
    <w:rPr>
      <w:sz w:val="18"/>
      <w:szCs w:val="18"/>
    </w:rPr>
  </w:style>
  <w:style w:type="paragraph" w:styleId="a5">
    <w:name w:val="Normal (Web)"/>
    <w:basedOn w:val="a"/>
    <w:uiPriority w:val="99"/>
    <w:unhideWhenUsed/>
    <w:rsid w:val="0099527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87EA9"/>
    <w:pPr>
      <w:ind w:firstLineChars="200" w:firstLine="420"/>
    </w:pPr>
  </w:style>
  <w:style w:type="character" w:styleId="a7">
    <w:name w:val="Hyperlink"/>
    <w:basedOn w:val="a0"/>
    <w:uiPriority w:val="99"/>
    <w:unhideWhenUsed/>
    <w:rsid w:val="002316C8"/>
    <w:rPr>
      <w:color w:val="0000FF" w:themeColor="hyperlink"/>
      <w:u w:val="single"/>
    </w:rPr>
  </w:style>
  <w:style w:type="paragraph" w:styleId="a8">
    <w:name w:val="Balloon Text"/>
    <w:basedOn w:val="a"/>
    <w:link w:val="Char1"/>
    <w:uiPriority w:val="99"/>
    <w:semiHidden/>
    <w:unhideWhenUsed/>
    <w:rsid w:val="000C3BC0"/>
    <w:rPr>
      <w:sz w:val="18"/>
      <w:szCs w:val="18"/>
    </w:rPr>
  </w:style>
  <w:style w:type="character" w:customStyle="1" w:styleId="Char1">
    <w:name w:val="批注框文本 Char"/>
    <w:basedOn w:val="a0"/>
    <w:link w:val="a8"/>
    <w:uiPriority w:val="99"/>
    <w:semiHidden/>
    <w:rsid w:val="000C3B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39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88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ndraco.com/index.php/galle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C0D7-0692-4BC2-ACEA-4CA7FC60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7</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杨宝磊</dc:creator>
  <cp:lastModifiedBy>李叶:文档管理员</cp:lastModifiedBy>
  <cp:revision>174</cp:revision>
  <cp:lastPrinted>2015-08-14T06:59:00Z</cp:lastPrinted>
  <dcterms:created xsi:type="dcterms:W3CDTF">2015-07-29T01:20:00Z</dcterms:created>
  <dcterms:modified xsi:type="dcterms:W3CDTF">2015-08-14T07:00:00Z</dcterms:modified>
</cp:coreProperties>
</file>